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F6D5" w14:textId="68ABF083" w:rsidR="00EB2892" w:rsidRDefault="00EB2892" w:rsidP="00EB2892">
      <w:pPr>
        <w:jc w:val="left"/>
      </w:pPr>
      <w:r w:rsidRPr="00EB2892">
        <w:rPr>
          <w:i/>
          <w:iCs/>
        </w:rPr>
        <w:t>PLOS-ONE</w:t>
      </w:r>
      <w:r>
        <w:t>, in press (accepted 11/9/20)</w:t>
      </w:r>
    </w:p>
    <w:p w14:paraId="62D87EFB" w14:textId="77777777" w:rsidR="00EB2892" w:rsidRDefault="00EB2892" w:rsidP="00695CC5"/>
    <w:p w14:paraId="78F53929" w14:textId="6EAC4B7A" w:rsidR="00695CC5" w:rsidRDefault="00695CC5" w:rsidP="00695CC5">
      <w:r>
        <w:t>Happiness around the World: A Combined Etic-Emic Approach across 63 Countries</w:t>
      </w:r>
    </w:p>
    <w:p w14:paraId="729ED2AD" w14:textId="6B89A2FB" w:rsidR="00695CC5" w:rsidRDefault="00695CC5" w:rsidP="00695CC5">
      <w:pPr>
        <w:spacing w:after="0"/>
        <w:rPr>
          <w:vertAlign w:val="superscript"/>
        </w:rPr>
      </w:pPr>
      <w:r>
        <w:t>Gwendolyn Gardiner</w:t>
      </w:r>
      <w:r>
        <w:rPr>
          <w:vertAlign w:val="superscript"/>
        </w:rPr>
        <w:t>1*</w:t>
      </w:r>
    </w:p>
    <w:p w14:paraId="52052F8E" w14:textId="3F9EF33A" w:rsidR="00695CC5" w:rsidRDefault="00695CC5" w:rsidP="00695CC5">
      <w:pPr>
        <w:spacing w:after="0"/>
      </w:pPr>
      <w:r>
        <w:t>Daniel Lee</w:t>
      </w:r>
      <w:r>
        <w:rPr>
          <w:vertAlign w:val="superscript"/>
        </w:rPr>
        <w:t>1</w:t>
      </w:r>
    </w:p>
    <w:p w14:paraId="55C5E1E2" w14:textId="03150EB7" w:rsidR="00695CC5" w:rsidRPr="00695CC5" w:rsidRDefault="00695CC5" w:rsidP="00695CC5">
      <w:pPr>
        <w:spacing w:after="0"/>
      </w:pPr>
      <w:r>
        <w:t>Erica Baranski</w:t>
      </w:r>
      <w:r>
        <w:rPr>
          <w:vertAlign w:val="superscript"/>
        </w:rPr>
        <w:t>2</w:t>
      </w:r>
    </w:p>
    <w:p w14:paraId="151C2BFB" w14:textId="45B31556" w:rsidR="00695CC5" w:rsidRDefault="00695CC5" w:rsidP="00695CC5">
      <w:pPr>
        <w:spacing w:after="0"/>
        <w:rPr>
          <w:vertAlign w:val="superscript"/>
        </w:rPr>
      </w:pPr>
      <w:r>
        <w:t>Members of the International Situations Project</w:t>
      </w:r>
      <w:r>
        <w:rPr>
          <w:vertAlign w:val="superscript"/>
        </w:rPr>
        <w:t>3</w:t>
      </w:r>
      <w:r>
        <w:br/>
        <w:t>David Funder</w:t>
      </w:r>
      <w:r w:rsidR="008C3515">
        <w:rPr>
          <w:vertAlign w:val="superscript"/>
        </w:rPr>
        <w:t>1</w:t>
      </w:r>
    </w:p>
    <w:p w14:paraId="25CAAE33" w14:textId="77777777" w:rsidR="00695CC5" w:rsidRDefault="00695CC5" w:rsidP="00695CC5">
      <w:pPr>
        <w:spacing w:after="0"/>
        <w:jc w:val="both"/>
        <w:rPr>
          <w:vertAlign w:val="superscript"/>
        </w:rPr>
      </w:pPr>
    </w:p>
    <w:p w14:paraId="11B12EBD" w14:textId="7561035B" w:rsidR="00695CC5" w:rsidRDefault="00695CC5" w:rsidP="00695CC5">
      <w:pPr>
        <w:spacing w:after="0"/>
        <w:jc w:val="both"/>
      </w:pPr>
      <w:r>
        <w:rPr>
          <w:vertAlign w:val="superscript"/>
        </w:rPr>
        <w:t>1</w:t>
      </w:r>
      <w:r>
        <w:t>Department of Psychology, The University of California, Riverside, United States of America</w:t>
      </w:r>
    </w:p>
    <w:p w14:paraId="555ACC65" w14:textId="12C39CBF" w:rsidR="00695CC5" w:rsidRDefault="00695CC5" w:rsidP="00695CC5">
      <w:pPr>
        <w:spacing w:after="0"/>
        <w:jc w:val="left"/>
      </w:pPr>
      <w:r>
        <w:rPr>
          <w:vertAlign w:val="superscript"/>
        </w:rPr>
        <w:t>2</w:t>
      </w:r>
      <w:r>
        <w:t>Department of Psychology, the University of Houston, Texas, United States of America</w:t>
      </w:r>
    </w:p>
    <w:p w14:paraId="225E5057" w14:textId="5346FC95" w:rsidR="00695CC5" w:rsidRDefault="00695CC5" w:rsidP="00695CC5">
      <w:pPr>
        <w:spacing w:after="0"/>
        <w:jc w:val="left"/>
      </w:pPr>
      <w:r>
        <w:rPr>
          <w:vertAlign w:val="superscript"/>
        </w:rPr>
        <w:t>3</w:t>
      </w:r>
      <w:r>
        <w:t xml:space="preserve">Membership of the International Situations Project is provided in the Acknowledgements </w:t>
      </w:r>
    </w:p>
    <w:p w14:paraId="17602053" w14:textId="727CCAD8" w:rsidR="00695CC5" w:rsidRDefault="00695CC5" w:rsidP="00695CC5">
      <w:pPr>
        <w:spacing w:after="0"/>
        <w:jc w:val="both"/>
      </w:pPr>
    </w:p>
    <w:p w14:paraId="387EA2A0" w14:textId="6D31AC2A" w:rsidR="00695CC5" w:rsidRDefault="00695CC5" w:rsidP="00695CC5">
      <w:pPr>
        <w:spacing w:after="0"/>
        <w:jc w:val="both"/>
      </w:pPr>
    </w:p>
    <w:p w14:paraId="25A6B182" w14:textId="099B8EF7" w:rsidR="00695CC5" w:rsidRDefault="00695CC5" w:rsidP="00695CC5">
      <w:pPr>
        <w:spacing w:after="0"/>
        <w:jc w:val="both"/>
      </w:pPr>
      <w:r>
        <w:t>*Corresponding author</w:t>
      </w:r>
    </w:p>
    <w:p w14:paraId="2FC85CB8" w14:textId="3CC4E0B1" w:rsidR="00695CC5" w:rsidRDefault="00695CC5" w:rsidP="00695CC5">
      <w:pPr>
        <w:spacing w:after="0"/>
        <w:jc w:val="both"/>
      </w:pPr>
      <w:r>
        <w:t>Email: gwendolyngardiner@gmail.com</w:t>
      </w:r>
    </w:p>
    <w:p w14:paraId="1A51B1D0" w14:textId="5DC4DDA0" w:rsidR="00695CC5" w:rsidRDefault="00695CC5">
      <w:pPr>
        <w:spacing w:line="259" w:lineRule="auto"/>
        <w:jc w:val="left"/>
      </w:pPr>
    </w:p>
    <w:p w14:paraId="5C2BC066" w14:textId="1580E0CC" w:rsidR="00695CC5" w:rsidRDefault="00695CC5">
      <w:pPr>
        <w:spacing w:line="259" w:lineRule="auto"/>
        <w:jc w:val="left"/>
      </w:pPr>
    </w:p>
    <w:p w14:paraId="0C3CC07D" w14:textId="77777777" w:rsidR="00695CC5" w:rsidRDefault="00695CC5">
      <w:pPr>
        <w:spacing w:line="259" w:lineRule="auto"/>
        <w:jc w:val="left"/>
        <w:rPr>
          <w:rFonts w:eastAsiaTheme="minorEastAsia" w:cstheme="minorBidi"/>
          <w:b/>
          <w:szCs w:val="22"/>
        </w:rPr>
      </w:pPr>
    </w:p>
    <w:p w14:paraId="25FE8C1B" w14:textId="77777777" w:rsidR="00695CC5" w:rsidRDefault="00695CC5">
      <w:pPr>
        <w:spacing w:line="259" w:lineRule="auto"/>
        <w:jc w:val="left"/>
        <w:rPr>
          <w:rFonts w:eastAsiaTheme="minorEastAsia" w:cstheme="minorBidi"/>
          <w:b/>
          <w:szCs w:val="22"/>
        </w:rPr>
      </w:pPr>
      <w:r>
        <w:br w:type="page"/>
      </w:r>
    </w:p>
    <w:p w14:paraId="586CAB99" w14:textId="77777777" w:rsidR="00B0798A" w:rsidRDefault="00B0798A" w:rsidP="00B0798A">
      <w:pPr>
        <w:pStyle w:val="Heading1"/>
      </w:pPr>
      <w:r>
        <w:lastRenderedPageBreak/>
        <w:t>Abstract</w:t>
      </w:r>
    </w:p>
    <w:p w14:paraId="27B8A36A" w14:textId="245FE4F0" w:rsidR="00B0798A" w:rsidRPr="00B0798A" w:rsidRDefault="00B0798A" w:rsidP="00B0798A">
      <w:pPr>
        <w:jc w:val="left"/>
      </w:pPr>
      <w:r>
        <w:t xml:space="preserve">What does it mean to be happy? The vast majority of cross-cultural studies on happiness have employed a Western-origin, or “WEIRD” measure of happiness that conceptualizes it as a self-centered (or “independent”), high-arousal emotion. However, research from Eastern cultures, particularly Japan, conceptualizes happiness as including an interpersonal aspect emphasizing harmony and connectedness to others. Following a combined emic-etic approach (Cheung, van de Vijver &amp; Leong, 2011), we assessed the cross-cultural applicability of a measure of independent happiness developed in the US (Subjective Happiness Scale; Lyubomirsky &amp; Lepper, 1999) and a measure of interdependent happiness developed in Japan (Interdependent Happiness Scale; Hitokoto &amp; Uchida, 2014), with data from 63 countries representing 7 sociocultural regions. Results indicate that the schema of independent happiness was more coherent in more WEIRD countries. In contrast, the coherence of interdependent happiness was unrelated to a country’s “WEIRD-ness.” Reliabilities of both happiness measures were lowest in African and Middle Eastern countries, suggesting these two conceptualizations of happiness may not be </w:t>
      </w:r>
      <w:r w:rsidR="004A3A35">
        <w:t>globally</w:t>
      </w:r>
      <w:r>
        <w:t xml:space="preserve"> comprehensive. Overall, while the two measures had many similar correlates and properties, the self-focused concept of independent happiness is “WEIRD-er” than interdependent happiness, suggesting cross-cultural researchers should attend to both conceptualizations.</w:t>
      </w:r>
      <w:r>
        <w:br w:type="page"/>
      </w:r>
    </w:p>
    <w:p w14:paraId="7CCB67FE" w14:textId="24B0A50D" w:rsidR="00BE43B8" w:rsidRDefault="00BE43B8" w:rsidP="009061F6">
      <w:pPr>
        <w:pStyle w:val="NoSpacing"/>
      </w:pPr>
      <w:r>
        <w:lastRenderedPageBreak/>
        <w:t>Happiness around the World: A Combined Etic-Emic Approach across 63 Countries</w:t>
      </w:r>
    </w:p>
    <w:p w14:paraId="22617509" w14:textId="1118D342" w:rsidR="00BE43B8" w:rsidRDefault="00BE43B8" w:rsidP="00C66D5C">
      <w:pPr>
        <w:spacing w:after="0"/>
        <w:ind w:firstLine="720"/>
        <w:jc w:val="left"/>
      </w:pPr>
      <w:r>
        <w:t xml:space="preserve">What does it mean to be happy? The answer might depend, at least in part, on cultural context. Laypeople, scientists, and even governments seek to assess the happiness of nations around the world. Some investigators ask which countries have the happiest people, while others seek predictors of happiness at the </w:t>
      </w:r>
      <w:r w:rsidR="00C234D4">
        <w:t xml:space="preserve">country or </w:t>
      </w:r>
      <w:r>
        <w:t xml:space="preserve">individual level. However, almost all international studies of happiness rely on measures developed in the West, which may impose </w:t>
      </w:r>
      <w:r w:rsidR="00C234D4">
        <w:t xml:space="preserve">inappropriate </w:t>
      </w:r>
      <w:r>
        <w:t xml:space="preserve">conceptualizations, styles, or values (Delle Fave et al., 2016; Diener, Oishi, &amp; Ryan, 2013; Oishi, 2018; Oishi &amp; Gilbert, 2016; </w:t>
      </w:r>
      <w:r>
        <w:rPr>
          <w:highlight w:val="white"/>
        </w:rPr>
        <w:t>Uchida, Norasakkunkit, &amp; Kitayama, 2004</w:t>
      </w:r>
      <w:r>
        <w:t xml:space="preserve">). </w:t>
      </w:r>
      <w:r w:rsidR="00C234D4">
        <w:t>Moreover</w:t>
      </w:r>
      <w:r>
        <w:t xml:space="preserve">, empirical research </w:t>
      </w:r>
      <w:r w:rsidR="00BF5B38">
        <w:t xml:space="preserve">exploring </w:t>
      </w:r>
      <w:r w:rsidR="00C234D4">
        <w:t xml:space="preserve">cultural distinctions in happiness </w:t>
      </w:r>
      <w:r>
        <w:t xml:space="preserve">beyond just a few countries (usually two) – is </w:t>
      </w:r>
      <w:r w:rsidR="002C3022">
        <w:t>sorely</w:t>
      </w:r>
      <w:r>
        <w:t xml:space="preserve"> lacking. </w:t>
      </w:r>
      <w:r w:rsidR="00C234D4">
        <w:t>The present article, following</w:t>
      </w:r>
      <w:r>
        <w:t xml:space="preserve"> a combined etic-emic approach (Cheung, van de Vijver, &amp; Leong, 2011), </w:t>
      </w:r>
      <w:r w:rsidR="00C234D4">
        <w:t>assesses</w:t>
      </w:r>
      <w:r>
        <w:t xml:space="preserve"> two measures of happiness</w:t>
      </w:r>
      <w:r w:rsidR="00C234D4">
        <w:t>,</w:t>
      </w:r>
      <w:r>
        <w:t xml:space="preserve"> developed in the United States and Japan</w:t>
      </w:r>
      <w:r w:rsidR="00C234D4">
        <w:t>,</w:t>
      </w:r>
      <w:r>
        <w:t xml:space="preserve"> across </w:t>
      </w:r>
      <w:r w:rsidR="009245CD">
        <w:t>63</w:t>
      </w:r>
      <w:r>
        <w:t xml:space="preserve"> countries on all of the inhabited continents of the world</w:t>
      </w:r>
      <w:r w:rsidR="00190803">
        <w:t>.</w:t>
      </w:r>
    </w:p>
    <w:p w14:paraId="006D34B8" w14:textId="41F83801" w:rsidR="00964BC0" w:rsidRDefault="00964BC0" w:rsidP="00C66D5C">
      <w:pPr>
        <w:spacing w:after="0"/>
        <w:ind w:firstLine="720"/>
        <w:jc w:val="left"/>
      </w:pPr>
      <w:r>
        <w:t xml:space="preserve">Early cross-cultural research </w:t>
      </w:r>
      <w:r w:rsidR="00750ACB">
        <w:t>usually tested</w:t>
      </w:r>
      <w:r>
        <w:t xml:space="preserve"> the generalizability of established psychological measures, almost always developed in the United States, in other cultures. </w:t>
      </w:r>
      <w:r w:rsidR="00850A32">
        <w:t xml:space="preserve">For example, researchers have assessed the universality of the Big Five personality traits </w:t>
      </w:r>
      <w:r w:rsidR="00750ACB">
        <w:t xml:space="preserve">across </w:t>
      </w:r>
      <w:r w:rsidR="00850A32">
        <w:t xml:space="preserve">multiple counties (De Raad et al., 2010; McCrae et al., 2005). </w:t>
      </w:r>
      <w:r w:rsidR="00FD030F">
        <w:t xml:space="preserve">This </w:t>
      </w:r>
      <w:r w:rsidR="00750ACB">
        <w:t>method</w:t>
      </w:r>
      <w:r w:rsidR="00FD030F">
        <w:t xml:space="preserve"> is known as the etic approach. </w:t>
      </w:r>
      <w:r w:rsidR="00EB36FC">
        <w:t xml:space="preserve">However, the etic approach often overlooks important aspects of a particular culture because they are not included in the original measure, </w:t>
      </w:r>
      <w:r w:rsidR="00750ACB">
        <w:t xml:space="preserve">typically </w:t>
      </w:r>
      <w:r w:rsidR="00EB36FC">
        <w:t xml:space="preserve">developed within Western contexts. The emic approach to cross-cultural psychology attempts to compensate for this </w:t>
      </w:r>
      <w:r w:rsidR="006A2D7E">
        <w:t xml:space="preserve">problem by developing measures of concepts deemed important to </w:t>
      </w:r>
      <w:r w:rsidR="0080411A">
        <w:t xml:space="preserve">a particular culture, </w:t>
      </w:r>
      <w:r w:rsidR="00750ACB">
        <w:t xml:space="preserve">including </w:t>
      </w:r>
      <w:r w:rsidR="0080411A">
        <w:t>non-Western contexts</w:t>
      </w:r>
      <w:r w:rsidR="003267CF">
        <w:t xml:space="preserve">, using a bottom-up approach. </w:t>
      </w:r>
      <w:r w:rsidR="0060796A">
        <w:t xml:space="preserve">While the emic approach is crucial for </w:t>
      </w:r>
      <w:r w:rsidR="006A0DC6">
        <w:t>comprehensive assessments of cultural attributes, it often emphasizes cultural uniqueness and lacks widespread</w:t>
      </w:r>
      <w:r w:rsidR="004A3A35">
        <w:t xml:space="preserve"> </w:t>
      </w:r>
      <w:r w:rsidR="00750ACB">
        <w:t xml:space="preserve">applicability </w:t>
      </w:r>
      <w:r w:rsidR="006A0DC6">
        <w:t>outside of th</w:t>
      </w:r>
      <w:r w:rsidR="00750ACB">
        <w:t>e</w:t>
      </w:r>
      <w:r w:rsidR="006A0DC6">
        <w:t xml:space="preserve"> cultural context</w:t>
      </w:r>
      <w:r w:rsidR="001C5805">
        <w:t xml:space="preserve"> (Cheung, van de Vijver, &amp; Leong, </w:t>
      </w:r>
      <w:r w:rsidR="001C5805">
        <w:lastRenderedPageBreak/>
        <w:t>2011)</w:t>
      </w:r>
      <w:r w:rsidR="006A0DC6">
        <w:t xml:space="preserve">. </w:t>
      </w:r>
      <w:r w:rsidR="001C5805">
        <w:t>The combined</w:t>
      </w:r>
      <w:r w:rsidR="006A0DC6">
        <w:t xml:space="preserve"> </w:t>
      </w:r>
      <w:r w:rsidR="00972763">
        <w:t xml:space="preserve">etic-emic approach attempts to utilize the benefits of both approaches, by assessing the generalizability of </w:t>
      </w:r>
      <w:r w:rsidR="000E0877">
        <w:t xml:space="preserve">multiple </w:t>
      </w:r>
      <w:r w:rsidR="00972763">
        <w:t xml:space="preserve">measures </w:t>
      </w:r>
      <w:r w:rsidR="000E0877">
        <w:t xml:space="preserve">of a similar construct </w:t>
      </w:r>
      <w:r w:rsidR="00972763">
        <w:t>across multiple groups</w:t>
      </w:r>
      <w:r w:rsidR="00FF3490">
        <w:t xml:space="preserve"> in culturally </w:t>
      </w:r>
      <w:r w:rsidR="00750ACB">
        <w:t xml:space="preserve">distinctive </w:t>
      </w:r>
      <w:r w:rsidR="00FF3490">
        <w:t xml:space="preserve">contexts.  </w:t>
      </w:r>
    </w:p>
    <w:p w14:paraId="4398830B" w14:textId="38477336" w:rsidR="00972763" w:rsidRPr="00F63BEE" w:rsidRDefault="00BE43B8" w:rsidP="00C66D5C">
      <w:pPr>
        <w:spacing w:after="0"/>
        <w:jc w:val="left"/>
        <w:rPr>
          <w:b/>
        </w:rPr>
      </w:pPr>
      <w:r>
        <w:rPr>
          <w:b/>
        </w:rPr>
        <w:t xml:space="preserve">Cross-Cultural Research on Happiness </w:t>
      </w:r>
    </w:p>
    <w:p w14:paraId="711D5830" w14:textId="3F99667E" w:rsidR="007D17FC" w:rsidRDefault="00BE43B8" w:rsidP="00C66D5C">
      <w:pPr>
        <w:spacing w:after="0"/>
        <w:jc w:val="left"/>
      </w:pPr>
      <w:r>
        <w:tab/>
      </w:r>
      <w:r w:rsidR="00236E57">
        <w:t xml:space="preserve">The vast majority of research on happiness has originated in </w:t>
      </w:r>
      <w:r w:rsidR="00C234D4">
        <w:t>WEIRD countries (Western, Educated, Industrialized, Rich, and Democratic; Henrich, Heine, &amp; Norenzayan, 2010)</w:t>
      </w:r>
      <w:r w:rsidR="00236E57">
        <w:t>, most frequently the United States</w:t>
      </w:r>
      <w:r w:rsidR="00F63BEE">
        <w:t xml:space="preserve"> (while many authors distinguish among terms such as happiness, well-being, positive affect, and life satisfaction, here we incorporate all of these terms under the common construct of happiness for a more comprehensive review of the literature)</w:t>
      </w:r>
      <w:r w:rsidR="00236E57">
        <w:t xml:space="preserve">. </w:t>
      </w:r>
      <w:r w:rsidR="005B3356">
        <w:t>Accordingly</w:t>
      </w:r>
      <w:r w:rsidR="00C234D4">
        <w:t>, the prevailing</w:t>
      </w:r>
      <w:r>
        <w:t xml:space="preserve"> conceptualization </w:t>
      </w:r>
      <w:r w:rsidR="00190803">
        <w:t xml:space="preserve">of happiness </w:t>
      </w:r>
      <w:r>
        <w:t xml:space="preserve">is consistent with a </w:t>
      </w:r>
      <w:r w:rsidR="00147DC0">
        <w:t xml:space="preserve">historically </w:t>
      </w:r>
      <w:r>
        <w:t>Protestant</w:t>
      </w:r>
      <w:r w:rsidR="00FD3C3B">
        <w:t>, self-centered</w:t>
      </w:r>
      <w:r>
        <w:t xml:space="preserve"> worldview that emphasizes personal worthiness and hard work to obtain positive outcomes (Uchida &amp; Ogihara, 2013)</w:t>
      </w:r>
      <w:r w:rsidR="005B3356">
        <w:t>, and sees</w:t>
      </w:r>
      <w:r w:rsidR="00236E57">
        <w:t xml:space="preserve"> happiness as a personal achievement</w:t>
      </w:r>
      <w:r w:rsidR="005B3356">
        <w:t xml:space="preserve"> rather than the result of </w:t>
      </w:r>
      <w:r w:rsidR="00236E57">
        <w:t>good fortune or context (</w:t>
      </w:r>
      <w:r w:rsidR="00236E57">
        <w:rPr>
          <w:highlight w:val="white"/>
        </w:rPr>
        <w:t>Uchida &amp; Kitayama, 2009</w:t>
      </w:r>
      <w:r w:rsidR="007D17FC">
        <w:rPr>
          <w:highlight w:val="white"/>
        </w:rPr>
        <w:t>; Uchida, Norasakkunkit, &amp; Kitayama, 2004</w:t>
      </w:r>
      <w:r w:rsidR="00236E57">
        <w:rPr>
          <w:highlight w:val="white"/>
        </w:rPr>
        <w:t>)</w:t>
      </w:r>
      <w:r w:rsidR="00236E57">
        <w:t xml:space="preserve">. This view </w:t>
      </w:r>
      <w:r w:rsidR="005B3356">
        <w:t xml:space="preserve">further </w:t>
      </w:r>
      <w:r w:rsidR="00236E57">
        <w:t xml:space="preserve">assumes the self is largely independent of others, and thus one’s happiness is independent of others. Additionally, </w:t>
      </w:r>
      <w:r w:rsidR="007D17FC">
        <w:t xml:space="preserve">people in Western societies, most notably in America, </w:t>
      </w:r>
      <w:r w:rsidR="00FD3C3B">
        <w:t>apparently enjoy</w:t>
      </w:r>
      <w:r w:rsidR="007D17FC">
        <w:t xml:space="preserve"> higher </w:t>
      </w:r>
      <w:r w:rsidR="005B3356">
        <w:t xml:space="preserve">levels of emotional </w:t>
      </w:r>
      <w:r w:rsidR="007D17FC">
        <w:t>arousal</w:t>
      </w:r>
      <w:r w:rsidR="00A51F23">
        <w:t xml:space="preserve"> (Tsai, Knutson, &amp; Fung, 2006), which may also reflect historical </w:t>
      </w:r>
      <w:r w:rsidR="000169E0">
        <w:t xml:space="preserve">and modern </w:t>
      </w:r>
      <w:r w:rsidR="00A51F23">
        <w:t>Christian influence</w:t>
      </w:r>
      <w:r w:rsidR="000169E0">
        <w:t>s</w:t>
      </w:r>
      <w:r w:rsidR="00A51F23">
        <w:t xml:space="preserve"> (</w:t>
      </w:r>
      <w:r w:rsidR="004C5223">
        <w:t>Tsai, Miao, &amp; Seppala, 2007)</w:t>
      </w:r>
      <w:r>
        <w:t xml:space="preserve">. </w:t>
      </w:r>
    </w:p>
    <w:p w14:paraId="42E8DEF0" w14:textId="144F139A" w:rsidR="00BE43B8" w:rsidRDefault="00BE43B8" w:rsidP="00C66D5C">
      <w:pPr>
        <w:spacing w:after="0"/>
        <w:ind w:firstLine="720"/>
        <w:jc w:val="left"/>
      </w:pPr>
      <w:r>
        <w:t xml:space="preserve">In contrast, the East Asian </w:t>
      </w:r>
      <w:r w:rsidR="0085185C">
        <w:t xml:space="preserve">worldview </w:t>
      </w:r>
      <w:r>
        <w:t>has been described as one in which the self is more entwined with others, such that personal happiness depends on positive connections in social relationships</w:t>
      </w:r>
      <w:r w:rsidR="00236E57">
        <w:t xml:space="preserve"> (</w:t>
      </w:r>
      <w:r w:rsidR="008B6F04">
        <w:rPr>
          <w:highlight w:val="white"/>
        </w:rPr>
        <w:t>Uchida, Norasakkunkit, &amp; Kitayama, 2004</w:t>
      </w:r>
      <w:r w:rsidR="00236E57">
        <w:t>)</w:t>
      </w:r>
      <w:r>
        <w:t xml:space="preserve">. For example, one study found that Koreans are more likely than Americans to spontaneously mention the word “family” when asked what they typically associate with the word “happiness” (Shin, Suh, Eom, &amp; Kim, 2017). </w:t>
      </w:r>
      <w:r>
        <w:lastRenderedPageBreak/>
        <w:t>Additionally, the Eastern view of happiness prioritize</w:t>
      </w:r>
      <w:r w:rsidR="00F46D01">
        <w:t>s</w:t>
      </w:r>
      <w:r>
        <w:t xml:space="preserve"> a lower level of emotional arousal (Tsai et al., 2006). Low</w:t>
      </w:r>
      <w:r w:rsidR="00BF5B38">
        <w:t>er</w:t>
      </w:r>
      <w:r>
        <w:t xml:space="preserve"> arousal can encompass both positive and negative emotions, with balance and harmony </w:t>
      </w:r>
      <w:r w:rsidR="00190803">
        <w:t xml:space="preserve">being more </w:t>
      </w:r>
      <w:r w:rsidR="002C3022">
        <w:t>valued</w:t>
      </w:r>
      <w:r w:rsidR="00190803">
        <w:t xml:space="preserve"> than </w:t>
      </w:r>
      <w:r>
        <w:t xml:space="preserve">a high ratio of positive to negative affect (Gotise &amp; Upadhyay, 2018; Uchida &amp; Kitayama, 2009). </w:t>
      </w:r>
    </w:p>
    <w:p w14:paraId="765311BC" w14:textId="77777777" w:rsidR="009E0A8D" w:rsidRDefault="00BE43B8" w:rsidP="00C66D5C">
      <w:pPr>
        <w:spacing w:after="0"/>
        <w:jc w:val="left"/>
      </w:pPr>
      <w:r>
        <w:tab/>
        <w:t>Previous studies have also found cultural distinctions in predictors and consequences of happiness</w:t>
      </w:r>
      <w:r w:rsidR="000770E0">
        <w:t xml:space="preserve"> </w:t>
      </w:r>
      <w:r w:rsidR="000770E0">
        <w:fldChar w:fldCharType="begin" w:fldLock="1"/>
      </w:r>
      <w:r w:rsidR="00CA44E6">
        <w:instrText>ADDIN CSL_CITATION {"citationItems":[{"id":"ITEM-1","itemData":{"DOI":"10.1007/s11577-019-00612-y","ISSN":"1861891X","abstract":"This article presents a review of empirical research exploring cross-national differences in the correlates of subjective well-being (SWB). I start by giving an overview of the concept of SWB across psychological, sociological, and economic literature. Measures of SWB have good cross-cultural validity, yet there is currently little consensus regarding the cultural universality of the definition of happiness. An overview of existing empirical literature points toward robust cross-national differences in mean levels of SWB that are associated with national differences in wealth and other socioeconomic, political, and cultural factors. The degree to which individual-level variables are associated with SWB is also subject to cross-national variations. Many individuals’ characteristics contribute to happiness to the extent that they are beneficial, socially desirable, and aspired to in a particular sociocultural context. These results are discussed in light of two theoretical approaches (institutional and fit hypotheses). Directions for future research are proposed.","author":[{"dropping-particle":"","family":"Stavrova","given":"Olga","non-dropping-particle":"","parse-names":false,"suffix":""}],"container-title":"Kolner Zeitschrift fur Soziologie und Sozialpsychologie","id":"ITEM-1","issued":{"date-parts":[["2019"]]},"page":"429-464","title":"How Much Do Sources of Happiness Vary Across Countries? A Review of the Empirical Literature","type":"article-journal","volume":"71"},"uris":["http://www.mendeley.com/documents/?uuid=9d0cd279-27bb-4673-b859-7d77426d7b10"]}],"mendeley":{"formattedCitation":"(Stavrova, 2019)","plainTextFormattedCitation":"(Stavrova, 2019)","previouslyFormattedCitation":"(Stavrova, 2019)"},"properties":{"noteIndex":0},"schema":"https://github.com/citation-style-language/schema/raw/master/csl-citation.json"}</w:instrText>
      </w:r>
      <w:r w:rsidR="000770E0">
        <w:fldChar w:fldCharType="separate"/>
      </w:r>
      <w:r w:rsidR="000770E0" w:rsidRPr="000770E0">
        <w:rPr>
          <w:noProof/>
        </w:rPr>
        <w:t>(Stavrova, 2019)</w:t>
      </w:r>
      <w:r w:rsidR="000770E0">
        <w:fldChar w:fldCharType="end"/>
      </w:r>
      <w:r>
        <w:t xml:space="preserve">. Self-esteem is often the strongest predictor of happiness in Western cultures, but this relationship is generally weaker in East Asian cultures (Myers &amp; Diener, 1995). Relational self-esteem, such as being proud of one’s family, is a stronger predictor of subjective well-being for Chinese students than is personal self-esteem (Du, King, &amp; Chi, 2017). Other predictors of happiness that vary by culture are contextual events, such as positive daily life experiences, which are stronger predictors of well-being for East Asians than for Westerners (Oishi et al., 2007). Lastly, interventions designed to increase happiness </w:t>
      </w:r>
      <w:r w:rsidR="002C3022">
        <w:t xml:space="preserve">can have different results in different cultures </w:t>
      </w:r>
      <w:r>
        <w:t xml:space="preserve">(Shin &amp; Lyubomirsky, 2017). For example, practicing gratitude is </w:t>
      </w:r>
      <w:r w:rsidR="002C3022">
        <w:t>typically</w:t>
      </w:r>
      <w:r>
        <w:t xml:space="preserve"> associated with increased positive emotions for Americans but may lead to mixed feelings for </w:t>
      </w:r>
      <w:r w:rsidRPr="00486F39">
        <w:t xml:space="preserve">Koreans, such as feeling guilt or indebtedness along with love (Layous, Lee, Choi, &amp; Lyubomirsky, 2013). </w:t>
      </w:r>
    </w:p>
    <w:p w14:paraId="770FF75F" w14:textId="21BB359E" w:rsidR="009E0A8D" w:rsidRDefault="009E0A8D" w:rsidP="009E0A8D">
      <w:pPr>
        <w:spacing w:after="0"/>
        <w:ind w:firstLine="720"/>
        <w:jc w:val="left"/>
      </w:pPr>
      <w:r>
        <w:t xml:space="preserve">Overall, evidence from cross-cultural studies on the </w:t>
      </w:r>
      <w:r w:rsidR="006B033E">
        <w:t xml:space="preserve">differences in definitions, associations, and consequences of happiness suggests previous Western-centered conceptualizations of happiness are far from universal. Additionally, </w:t>
      </w:r>
      <w:r w:rsidR="00946788">
        <w:t xml:space="preserve">if the concept of happiness varies cross-culturally, the method of measuring happiness across cultures must </w:t>
      </w:r>
      <w:r w:rsidR="001725E8">
        <w:t xml:space="preserve">also </w:t>
      </w:r>
      <w:r w:rsidR="00946788">
        <w:t xml:space="preserve">vary accordingly. </w:t>
      </w:r>
      <w:r w:rsidR="001725E8">
        <w:t xml:space="preserve">For example, the Eastern conceptualization of happiness as more </w:t>
      </w:r>
      <w:r w:rsidR="004F2535">
        <w:t>intertwined</w:t>
      </w:r>
      <w:r w:rsidR="001725E8">
        <w:t xml:space="preserve"> </w:t>
      </w:r>
      <w:r w:rsidR="00307FF6">
        <w:t xml:space="preserve">with others </w:t>
      </w:r>
      <w:r w:rsidR="00623E72">
        <w:t xml:space="preserve">may be </w:t>
      </w:r>
      <w:r w:rsidR="000650D2">
        <w:t>masked</w:t>
      </w:r>
      <w:r w:rsidR="00623E72">
        <w:t xml:space="preserve"> from researchers </w:t>
      </w:r>
      <w:r w:rsidR="000650D2">
        <w:t xml:space="preserve">who only assess happiness using measures developed </w:t>
      </w:r>
      <w:r w:rsidR="000650D2">
        <w:lastRenderedPageBreak/>
        <w:t xml:space="preserve">with a Western, independent </w:t>
      </w:r>
      <w:r w:rsidR="004F2535">
        <w:t>focus</w:t>
      </w:r>
      <w:r w:rsidR="000650D2">
        <w:t xml:space="preserve">. </w:t>
      </w:r>
      <w:r w:rsidR="004F2535">
        <w:t xml:space="preserve">Thus, the evidence of cross-cultural differences in happiness point to a greater need for incorporating more culturally sensitive measures of happiness. </w:t>
      </w:r>
    </w:p>
    <w:p w14:paraId="501C29C5" w14:textId="3B7D8A24" w:rsidR="00BE43B8" w:rsidRDefault="00486F39" w:rsidP="00C66D5C">
      <w:pPr>
        <w:spacing w:after="0"/>
        <w:jc w:val="left"/>
        <w:rPr>
          <w:b/>
        </w:rPr>
      </w:pPr>
      <w:r w:rsidRPr="00486F39">
        <w:rPr>
          <w:b/>
        </w:rPr>
        <w:t xml:space="preserve">Independent vs. </w:t>
      </w:r>
      <w:r w:rsidR="00BE43B8" w:rsidRPr="00486F39">
        <w:rPr>
          <w:b/>
        </w:rPr>
        <w:t xml:space="preserve">Interdependent </w:t>
      </w:r>
      <w:r w:rsidR="00913995">
        <w:rPr>
          <w:b/>
        </w:rPr>
        <w:t xml:space="preserve">Measures of </w:t>
      </w:r>
      <w:r w:rsidR="00BE43B8" w:rsidRPr="00486F39">
        <w:rPr>
          <w:b/>
        </w:rPr>
        <w:t>Happiness</w:t>
      </w:r>
    </w:p>
    <w:p w14:paraId="637B3A83" w14:textId="0A4E69E5" w:rsidR="00BE43B8" w:rsidRDefault="00BE43B8" w:rsidP="00C66D5C">
      <w:pPr>
        <w:spacing w:after="0"/>
        <w:ind w:firstLine="720"/>
        <w:jc w:val="left"/>
      </w:pPr>
      <w:r>
        <w:t>Despite the widespread acknowledgement of cultural distinctions in the concept of happiness and the evident need for a measure developed in a non-WEIRD country, emic (indigenous) measure</w:t>
      </w:r>
      <w:r w:rsidR="009C298B">
        <w:t>s</w:t>
      </w:r>
      <w:r>
        <w:t xml:space="preserve"> d</w:t>
      </w:r>
      <w:r w:rsidR="009C298B">
        <w:t>eveloped outside of the West have</w:t>
      </w:r>
      <w:r>
        <w:t xml:space="preserve"> b</w:t>
      </w:r>
      <w:r w:rsidR="009C298B">
        <w:t>ecome available only recently. One such measure, t</w:t>
      </w:r>
      <w:r>
        <w:t xml:space="preserve">he Interdependent Happiness Scale (IHS), developed by researchers in Japan (Hitokoto &amp; Uchida, 2014), was designed to encompass the main components of happiness based on the </w:t>
      </w:r>
      <w:r w:rsidR="00190803">
        <w:t>outlook</w:t>
      </w:r>
      <w:r>
        <w:t xml:space="preserve"> of individuals in </w:t>
      </w:r>
      <w:r w:rsidR="000650D2">
        <w:t>East Asia</w:t>
      </w:r>
      <w:r>
        <w:t xml:space="preserve">, specifically Japan. The IHS assesses three main components: relationship orientation, quiescence, and embeddedness in the ordinariness of others. Relationship orientation means that one’s </w:t>
      </w:r>
      <w:r w:rsidR="00CD365A">
        <w:t xml:space="preserve">own </w:t>
      </w:r>
      <w:r>
        <w:t xml:space="preserve">happiness is dependent upon the happiness of others - an important aspect of this dependency comes from interpersonal harmony. Quiescence comes from an Eastern belief that part of happiness is the absence of negative events or potential for social disruptions that may hinder a peaceful existence. Embeddedness in the ordinariness of others comes from the Eastern preference for normality in the sense that everyone is on an equal level in </w:t>
      </w:r>
      <w:r w:rsidR="00F866EA">
        <w:t xml:space="preserve">their </w:t>
      </w:r>
      <w:r>
        <w:t xml:space="preserve">success and accomplishments. </w:t>
      </w:r>
    </w:p>
    <w:p w14:paraId="26812D93" w14:textId="3D407E9E" w:rsidR="00307FF6" w:rsidRDefault="00BE43B8" w:rsidP="00307FF6">
      <w:pPr>
        <w:spacing w:after="0"/>
        <w:ind w:firstLine="720"/>
        <w:jc w:val="left"/>
      </w:pPr>
      <w:r>
        <w:t xml:space="preserve">The </w:t>
      </w:r>
      <w:r w:rsidR="00B053AE">
        <w:t>Interdependent Happiness Scale (I</w:t>
      </w:r>
      <w:r w:rsidR="008B7A33">
        <w:t>H</w:t>
      </w:r>
      <w:r w:rsidR="00B053AE">
        <w:t>S)</w:t>
      </w:r>
      <w:r>
        <w:t xml:space="preserve"> differs from traditional Western </w:t>
      </w:r>
      <w:r w:rsidR="00BF28BB">
        <w:t>measures of</w:t>
      </w:r>
      <w:r>
        <w:t xml:space="preserve"> happiness </w:t>
      </w:r>
      <w:r w:rsidR="00B752DF">
        <w:t xml:space="preserve">in </w:t>
      </w:r>
      <w:r>
        <w:t xml:space="preserve">both its ideal level of affect and in its </w:t>
      </w:r>
      <w:r w:rsidR="00190803">
        <w:t xml:space="preserve">lesser </w:t>
      </w:r>
      <w:r>
        <w:t xml:space="preserve">emphasis on comparisons with others. For example, </w:t>
      </w:r>
      <w:r w:rsidR="00B053AE">
        <w:t xml:space="preserve">one common measure of happiness developed in the West, </w:t>
      </w:r>
      <w:r>
        <w:t>the Satisfaction with Life Scale (SWLS: Diener, Emmons, Larsen, &amp; Griffin, 1985)</w:t>
      </w:r>
      <w:r w:rsidR="00B053AE">
        <w:t>,</w:t>
      </w:r>
      <w:r>
        <w:t xml:space="preserve"> asks individuals how much they agree with the statement “The conditions of my life are excellent,” implying a high level of affect intensity. In contrast, the IHS asks if individuals have “any concerns or anxieties” with the absence of negative affect indicating greater well-being. Likewise,</w:t>
      </w:r>
      <w:r w:rsidR="00B053AE">
        <w:t xml:space="preserve"> another Western measure of </w:t>
      </w:r>
      <w:r w:rsidR="00B053AE">
        <w:lastRenderedPageBreak/>
        <w:t>happiness,</w:t>
      </w:r>
      <w:r>
        <w:t xml:space="preserve"> the Subjective Happiness Scale (SHS: Lyubomirsky &amp; Lepper, 1999)</w:t>
      </w:r>
      <w:r w:rsidR="00B053AE">
        <w:t>,</w:t>
      </w:r>
      <w:r>
        <w:t xml:space="preserve"> asks participants to compare themselves to others around them and rate if they are “</w:t>
      </w:r>
      <w:proofErr w:type="gramStart"/>
      <w:r>
        <w:t>more happy</w:t>
      </w:r>
      <w:proofErr w:type="gramEnd"/>
      <w:r>
        <w:t>” or “less happy.” In contrast, the IHS asks participants how much they agree with the statement that they are “just as happy as others around them</w:t>
      </w:r>
      <w:r w:rsidR="00DC46C6">
        <w:t>,</w:t>
      </w:r>
      <w:r>
        <w:t xml:space="preserve">” </w:t>
      </w:r>
      <w:r w:rsidR="00DC46C6">
        <w:t>incorporating the interdependence of others</w:t>
      </w:r>
      <w:r w:rsidR="00E05F55">
        <w:t>’</w:t>
      </w:r>
      <w:r w:rsidR="00DC46C6">
        <w:t xml:space="preserve"> happiness into the measure.</w:t>
      </w:r>
      <w:r w:rsidR="00307FF6">
        <w:t xml:space="preserve"> T</w:t>
      </w:r>
      <w:r w:rsidR="00307FF6" w:rsidRPr="00486F39">
        <w:t xml:space="preserve">he Western conceptualizations of happiness can be defined in terms of independence while the Eastern conceptualizations of happiness can be defined in terms of interdependence. Thus, from this point forward, we will refer to </w:t>
      </w:r>
      <w:r w:rsidR="00307FF6">
        <w:t xml:space="preserve">self-focused, </w:t>
      </w:r>
      <w:r w:rsidR="00307FF6" w:rsidRPr="00486F39">
        <w:t xml:space="preserve">Western conceptualizations of happiness as </w:t>
      </w:r>
      <w:r w:rsidR="00307FF6" w:rsidRPr="00486F39">
        <w:rPr>
          <w:i/>
          <w:iCs/>
        </w:rPr>
        <w:t>independent</w:t>
      </w:r>
      <w:r w:rsidR="00307FF6" w:rsidRPr="00486F39">
        <w:t xml:space="preserve"> happiness and Eastern conceptualizations of happiness as </w:t>
      </w:r>
      <w:r w:rsidR="00307FF6" w:rsidRPr="00486F39">
        <w:rPr>
          <w:i/>
          <w:iCs/>
        </w:rPr>
        <w:t>interdependent</w:t>
      </w:r>
      <w:r w:rsidR="00307FF6" w:rsidRPr="00486F39">
        <w:t xml:space="preserve"> happiness. </w:t>
      </w:r>
    </w:p>
    <w:p w14:paraId="71D52D82" w14:textId="24EAEC9A" w:rsidR="004A3A35" w:rsidRDefault="004A3A35">
      <w:pPr>
        <w:spacing w:after="0"/>
        <w:ind w:firstLine="720"/>
        <w:jc w:val="left"/>
      </w:pPr>
      <w:r>
        <w:t xml:space="preserve"> </w:t>
      </w:r>
      <w:r w:rsidR="00750ACB">
        <w:t xml:space="preserve">Little </w:t>
      </w:r>
      <w:r w:rsidR="00EC53B2">
        <w:t>is known regarding how well these two conceptualizations of happiness generalize beyond the East vs. West dichotomy</w:t>
      </w:r>
      <w:r w:rsidR="00750ACB">
        <w:t xml:space="preserve"> that seems ubiquitous</w:t>
      </w:r>
      <w:r w:rsidR="00EC53B2">
        <w:t xml:space="preserve"> in cross-cultural research</w:t>
      </w:r>
      <w:r w:rsidR="00557B7E">
        <w:t xml:space="preserve"> (Oishi &amp; Gilbert, 2016). </w:t>
      </w:r>
      <w:r w:rsidR="006B55FF">
        <w:t>Non-WEIRD countries encompass a wide range of diverse cultural values, religious beliefs, political institutions, and even geographic conditions that can all influence psychological constructs (Oishi, 2014).</w:t>
      </w:r>
      <w:r w:rsidR="00E805FA">
        <w:t xml:space="preserve"> These overlapping influences</w:t>
      </w:r>
      <w:r w:rsidR="00750ACB">
        <w:t xml:space="preserve"> could be expected to </w:t>
      </w:r>
      <w:r w:rsidR="00E805FA">
        <w:t xml:space="preserve">affect the extent to which </w:t>
      </w:r>
      <w:r w:rsidR="001918E1">
        <w:t xml:space="preserve">independent or interdependent concepts of happiness generalize cross-culturally. For example, </w:t>
      </w:r>
      <w:r w:rsidR="00487F56">
        <w:t xml:space="preserve">Latin America </w:t>
      </w:r>
      <w:r w:rsidR="001918E1">
        <w:t>societies</w:t>
      </w:r>
      <w:r w:rsidR="00487F56">
        <w:t xml:space="preserve"> and East Asians </w:t>
      </w:r>
      <w:r w:rsidR="001918E1">
        <w:t xml:space="preserve">societies </w:t>
      </w:r>
      <w:r w:rsidR="00487F56">
        <w:t xml:space="preserve">are both seen as collectivistic, valuing close relationships with others, which would suggest an interdependent view of happiness. However, </w:t>
      </w:r>
      <w:r w:rsidR="001918E1">
        <w:t xml:space="preserve">one study on cultural differences in ideal affect found </w:t>
      </w:r>
      <w:r w:rsidR="00487F56">
        <w:t>Mexicans prefer high</w:t>
      </w:r>
      <w:r w:rsidR="001918E1">
        <w:t>er</w:t>
      </w:r>
      <w:r w:rsidR="00487F56">
        <w:t xml:space="preserve"> arousal positive emotions while Hong Kong Chinese prefer low</w:t>
      </w:r>
      <w:r w:rsidR="001918E1">
        <w:t>er</w:t>
      </w:r>
      <w:r w:rsidR="00487F56">
        <w:t xml:space="preserve"> arousal positive </w:t>
      </w:r>
      <w:r w:rsidR="001918E1">
        <w:t>emotions (Ruby et al., 2012)</w:t>
      </w:r>
      <w:r w:rsidR="00487F56">
        <w:t>, suggesting the quiescence aspect of the Interdependent Happiness Scale may not apply in Latin American societies.</w:t>
      </w:r>
      <w:r w:rsidR="003227FE">
        <w:t xml:space="preserve"> Assessing a wider range of cultures beyond the most commonly included Western and Eastern countries will help</w:t>
      </w:r>
      <w:r w:rsidR="00790A74">
        <w:t xml:space="preserve"> further</w:t>
      </w:r>
      <w:r w:rsidR="003227FE">
        <w:t xml:space="preserve"> test the generalizability of </w:t>
      </w:r>
      <w:r w:rsidR="00790A74">
        <w:t xml:space="preserve">these two concepts of </w:t>
      </w:r>
      <w:r w:rsidR="00933422">
        <w:t xml:space="preserve">happiness. </w:t>
      </w:r>
    </w:p>
    <w:p w14:paraId="286770F7" w14:textId="50210E61" w:rsidR="00BE43B8" w:rsidRDefault="00E05F55" w:rsidP="00750ACB">
      <w:pPr>
        <w:spacing w:after="0"/>
        <w:ind w:firstLine="720"/>
        <w:rPr>
          <w:b/>
        </w:rPr>
      </w:pPr>
      <w:r>
        <w:rPr>
          <w:b/>
        </w:rPr>
        <w:lastRenderedPageBreak/>
        <w:t>The</w:t>
      </w:r>
      <w:r w:rsidR="00BE43B8">
        <w:rPr>
          <w:b/>
        </w:rPr>
        <w:t xml:space="preserve"> Current Study</w:t>
      </w:r>
    </w:p>
    <w:p w14:paraId="236576DE" w14:textId="63838E5C" w:rsidR="00BE43B8" w:rsidRDefault="00BE43B8" w:rsidP="00C66D5C">
      <w:pPr>
        <w:spacing w:after="0"/>
        <w:jc w:val="left"/>
      </w:pPr>
      <w:r>
        <w:tab/>
        <w:t xml:space="preserve">The purpose of the present study is to compare </w:t>
      </w:r>
      <w:r w:rsidR="00E05F55">
        <w:t xml:space="preserve">and contrast </w:t>
      </w:r>
      <w:r w:rsidR="00444156">
        <w:t>the two</w:t>
      </w:r>
      <w:r w:rsidR="00E05F55">
        <w:t xml:space="preserve"> cultural conceptualizations of </w:t>
      </w:r>
      <w:r w:rsidR="00790A74">
        <w:t xml:space="preserve">independent and interdependent </w:t>
      </w:r>
      <w:r w:rsidR="00E05F55">
        <w:t>happiness</w:t>
      </w:r>
      <w:r w:rsidR="002C3022">
        <w:t xml:space="preserve"> in many countries around the world</w:t>
      </w:r>
      <w:r w:rsidR="00F6050B">
        <w:t>.</w:t>
      </w:r>
      <w:r w:rsidR="00E05F55">
        <w:t xml:space="preserve"> </w:t>
      </w:r>
      <w:r w:rsidR="00F6050B">
        <w:t xml:space="preserve">Using a combined etic-emic approach (Cheung, van de Vijver &amp; Leong, 2011), </w:t>
      </w:r>
      <w:r w:rsidR="009B30B9">
        <w:t xml:space="preserve">we assessed the Western conceptualization of </w:t>
      </w:r>
      <w:r w:rsidR="00FA437E">
        <w:t xml:space="preserve">independent </w:t>
      </w:r>
      <w:r w:rsidR="009B30B9">
        <w:t xml:space="preserve">happiness using </w:t>
      </w:r>
      <w:r w:rsidR="00360B98">
        <w:t xml:space="preserve">a measure developed </w:t>
      </w:r>
      <w:r w:rsidR="0085185C">
        <w:t xml:space="preserve">and widely-used </w:t>
      </w:r>
      <w:r w:rsidR="002C3022">
        <w:t>i</w:t>
      </w:r>
      <w:r w:rsidR="00360B98">
        <w:t>n the United States (</w:t>
      </w:r>
      <w:r w:rsidR="009B30B9">
        <w:t>Subjective Happiness Scale</w:t>
      </w:r>
      <w:r w:rsidR="00360B98">
        <w:t xml:space="preserve">, </w:t>
      </w:r>
      <w:r w:rsidR="009B30B9">
        <w:t>SHS: Lyubomirsky &amp; Lepper, 1999)</w:t>
      </w:r>
      <w:r w:rsidR="00360B98">
        <w:t xml:space="preserve"> and the Eastern conceptualization of</w:t>
      </w:r>
      <w:r w:rsidR="00FA437E">
        <w:t xml:space="preserve"> interdependent</w:t>
      </w:r>
      <w:r w:rsidR="00360B98">
        <w:t xml:space="preserve"> happiness using the Interdependent Happiness Scale (IHS), developed in Japan (Hitokoto &amp; Uchida, 2014).</w:t>
      </w:r>
      <w:r w:rsidR="00F6050B">
        <w:t xml:space="preserve"> </w:t>
      </w:r>
      <w:r>
        <w:t xml:space="preserve">While the Interdependent Happiness Scale (IHS) has been </w:t>
      </w:r>
      <w:r w:rsidR="00444156">
        <w:t xml:space="preserve">assessed </w:t>
      </w:r>
      <w:r>
        <w:t>in a number of Eastern and Western countries (e.g., Krys et al., 2019), a large-scale assessment comparing the measure with a Western measure of happiness across diverse cultural contexts has yet to be reported. Additionally, previous cross-cultural research on happiness has typically only compared Westerners (</w:t>
      </w:r>
      <w:r w:rsidR="000A5418">
        <w:t>usually</w:t>
      </w:r>
      <w:r>
        <w:t xml:space="preserve"> in the US or Canada) with East Asians (most commonly Japan), while neglecting cultures in Africa, </w:t>
      </w:r>
      <w:r w:rsidR="00486F39">
        <w:t xml:space="preserve">Latin America, </w:t>
      </w:r>
      <w:r>
        <w:t xml:space="preserve">the Middle East, and Southeast Asia (Oishi &amp; Gilbert, 2016). We sought to assess the constructs of </w:t>
      </w:r>
      <w:r w:rsidR="000A5418">
        <w:t xml:space="preserve">Eastern </w:t>
      </w:r>
      <w:r>
        <w:t xml:space="preserve">interdependent happiness </w:t>
      </w:r>
      <w:r w:rsidR="0007677D">
        <w:t>with a Western measure of</w:t>
      </w:r>
      <w:r>
        <w:t xml:space="preserve"> </w:t>
      </w:r>
      <w:r w:rsidR="000A5418">
        <w:t xml:space="preserve">independent </w:t>
      </w:r>
      <w:r>
        <w:t xml:space="preserve">happiness across </w:t>
      </w:r>
      <w:r w:rsidR="00913995">
        <w:t xml:space="preserve">a </w:t>
      </w:r>
      <w:r w:rsidR="001725E8">
        <w:t xml:space="preserve">wide </w:t>
      </w:r>
      <w:r w:rsidR="00913995">
        <w:t xml:space="preserve">range of </w:t>
      </w:r>
      <w:r>
        <w:t xml:space="preserve">63 </w:t>
      </w:r>
      <w:r w:rsidR="00913995">
        <w:t xml:space="preserve">culturally diverse </w:t>
      </w:r>
      <w:r>
        <w:t>countries</w:t>
      </w:r>
      <w:r w:rsidR="000A5418">
        <w:t xml:space="preserve"> </w:t>
      </w:r>
      <w:r w:rsidR="00360B98">
        <w:t xml:space="preserve">to determine the generalizability of the measures </w:t>
      </w:r>
      <w:r w:rsidR="00805E4B">
        <w:t xml:space="preserve">both within and </w:t>
      </w:r>
      <w:r w:rsidR="00360B98">
        <w:t>outside of the Eastern and Western contexts</w:t>
      </w:r>
      <w:r>
        <w:t xml:space="preserve">. </w:t>
      </w:r>
    </w:p>
    <w:p w14:paraId="068DF2E7" w14:textId="77777777" w:rsidR="00BE43B8" w:rsidRDefault="00BE43B8" w:rsidP="00C66D5C">
      <w:pPr>
        <w:pStyle w:val="Heading1"/>
        <w:spacing w:before="0" w:after="0"/>
      </w:pPr>
      <w:r>
        <w:t>Methods</w:t>
      </w:r>
    </w:p>
    <w:p w14:paraId="0EAC29A4" w14:textId="77777777" w:rsidR="00BE43B8" w:rsidRDefault="00BE43B8" w:rsidP="00C66D5C">
      <w:pPr>
        <w:pStyle w:val="Heading2"/>
        <w:spacing w:after="0"/>
        <w:jc w:val="both"/>
      </w:pPr>
      <w:r>
        <w:t>Participants</w:t>
      </w:r>
    </w:p>
    <w:p w14:paraId="7DC62203" w14:textId="473C9CCD" w:rsidR="00BE43B8" w:rsidRDefault="00BE43B8" w:rsidP="00C66D5C">
      <w:pPr>
        <w:spacing w:after="0"/>
        <w:ind w:firstLine="720"/>
        <w:jc w:val="left"/>
      </w:pPr>
      <w:r>
        <w:t>Participants (</w:t>
      </w:r>
      <w:r w:rsidRPr="00D506BA">
        <w:rPr>
          <w:iCs/>
        </w:rPr>
        <w:t>N</w:t>
      </w:r>
      <w:r>
        <w:t xml:space="preserve"> = 15,368; 71% female) were recruited by local collaborators from 63 countries (see Table 1) and were members of their local university and college communities (</w:t>
      </w:r>
      <w:r w:rsidRPr="004A5453">
        <w:rPr>
          <w:i/>
        </w:rPr>
        <w:t>M</w:t>
      </w:r>
      <w:r w:rsidRPr="004A5453">
        <w:rPr>
          <w:i/>
          <w:vertAlign w:val="subscript"/>
        </w:rPr>
        <w:t>age</w:t>
      </w:r>
      <w:r>
        <w:t xml:space="preserve"> = 21.93). The average sample size across all the countries was </w:t>
      </w:r>
      <w:r>
        <w:rPr>
          <w:i/>
        </w:rPr>
        <w:t>n</w:t>
      </w:r>
      <w:r>
        <w:t xml:space="preserve"> = 246 (range: 50 – 1,366). </w:t>
      </w:r>
      <w:r>
        <w:lastRenderedPageBreak/>
        <w:t>Participants either volunteered or received compensation in the form of extra credit, course credit, small gifts, or monetary payment for participation.</w:t>
      </w:r>
    </w:p>
    <w:tbl>
      <w:tblPr>
        <w:tblW w:w="7612" w:type="dxa"/>
        <w:tblLayout w:type="fixed"/>
        <w:tblLook w:val="0400" w:firstRow="0" w:lastRow="0" w:firstColumn="0" w:lastColumn="0" w:noHBand="0" w:noVBand="1"/>
      </w:tblPr>
      <w:tblGrid>
        <w:gridCol w:w="2028"/>
        <w:gridCol w:w="1828"/>
        <w:gridCol w:w="1202"/>
        <w:gridCol w:w="1252"/>
        <w:gridCol w:w="1302"/>
      </w:tblGrid>
      <w:tr w:rsidR="009177AB" w14:paraId="2A5D8BFA" w14:textId="77777777" w:rsidTr="00F866EA">
        <w:trPr>
          <w:trHeight w:val="280"/>
        </w:trPr>
        <w:tc>
          <w:tcPr>
            <w:tcW w:w="7612" w:type="dxa"/>
            <w:gridSpan w:val="5"/>
            <w:tcBorders>
              <w:left w:val="nil"/>
              <w:bottom w:val="single" w:sz="4" w:space="0" w:color="000000"/>
              <w:right w:val="nil"/>
            </w:tcBorders>
            <w:shd w:val="clear" w:color="auto" w:fill="auto"/>
            <w:vAlign w:val="bottom"/>
          </w:tcPr>
          <w:p w14:paraId="052CFFCA" w14:textId="77777777" w:rsidR="009177AB" w:rsidRDefault="009177AB" w:rsidP="00F866EA">
            <w:pPr>
              <w:spacing w:after="0" w:line="240" w:lineRule="auto"/>
              <w:jc w:val="left"/>
              <w:rPr>
                <w:i/>
                <w:color w:val="222222"/>
                <w:highlight w:val="white"/>
              </w:rPr>
            </w:pPr>
            <w:r>
              <w:rPr>
                <w:color w:val="222222"/>
                <w:highlight w:val="white"/>
              </w:rPr>
              <w:t>Table 1</w:t>
            </w:r>
          </w:p>
        </w:tc>
      </w:tr>
      <w:tr w:rsidR="009177AB" w14:paraId="7839A7C9" w14:textId="77777777" w:rsidTr="00F866EA">
        <w:trPr>
          <w:trHeight w:val="280"/>
        </w:trPr>
        <w:tc>
          <w:tcPr>
            <w:tcW w:w="7612" w:type="dxa"/>
            <w:gridSpan w:val="5"/>
            <w:tcBorders>
              <w:top w:val="single" w:sz="4" w:space="0" w:color="000000"/>
              <w:left w:val="nil"/>
              <w:bottom w:val="single" w:sz="4" w:space="0" w:color="000000"/>
              <w:right w:val="nil"/>
            </w:tcBorders>
            <w:shd w:val="clear" w:color="auto" w:fill="auto"/>
            <w:vAlign w:val="bottom"/>
          </w:tcPr>
          <w:p w14:paraId="61CFB402" w14:textId="77777777" w:rsidR="009177AB" w:rsidRPr="00246D76" w:rsidRDefault="009177AB" w:rsidP="00F866EA">
            <w:pPr>
              <w:spacing w:after="0" w:line="240" w:lineRule="auto"/>
              <w:jc w:val="left"/>
            </w:pPr>
            <w:r w:rsidRPr="00246D76">
              <w:rPr>
                <w:i/>
                <w:highlight w:val="white"/>
              </w:rPr>
              <w:t>Demographic Information by Country</w:t>
            </w:r>
          </w:p>
        </w:tc>
      </w:tr>
      <w:tr w:rsidR="009177AB" w14:paraId="1185F06E" w14:textId="77777777" w:rsidTr="00F866EA">
        <w:trPr>
          <w:trHeight w:val="280"/>
        </w:trPr>
        <w:tc>
          <w:tcPr>
            <w:tcW w:w="2028" w:type="dxa"/>
            <w:tcBorders>
              <w:top w:val="single" w:sz="4" w:space="0" w:color="000000"/>
              <w:left w:val="nil"/>
              <w:bottom w:val="single" w:sz="4" w:space="0" w:color="000000"/>
              <w:right w:val="nil"/>
            </w:tcBorders>
            <w:shd w:val="clear" w:color="auto" w:fill="auto"/>
            <w:vAlign w:val="bottom"/>
          </w:tcPr>
          <w:p w14:paraId="56E6BBE9" w14:textId="77777777" w:rsidR="009177AB" w:rsidRDefault="009177AB" w:rsidP="00F866EA">
            <w:pPr>
              <w:spacing w:after="0" w:line="240" w:lineRule="auto"/>
              <w:jc w:val="left"/>
              <w:rPr>
                <w:color w:val="000000"/>
              </w:rPr>
            </w:pPr>
            <w:r>
              <w:rPr>
                <w:color w:val="000000"/>
              </w:rPr>
              <w:t>Country</w:t>
            </w:r>
          </w:p>
        </w:tc>
        <w:tc>
          <w:tcPr>
            <w:tcW w:w="1828" w:type="dxa"/>
            <w:tcBorders>
              <w:top w:val="single" w:sz="4" w:space="0" w:color="000000"/>
              <w:left w:val="nil"/>
              <w:bottom w:val="single" w:sz="4" w:space="0" w:color="000000"/>
              <w:right w:val="nil"/>
            </w:tcBorders>
            <w:shd w:val="clear" w:color="auto" w:fill="auto"/>
            <w:vAlign w:val="bottom"/>
          </w:tcPr>
          <w:p w14:paraId="6CC3B714" w14:textId="77777777" w:rsidR="009177AB" w:rsidRDefault="009177AB" w:rsidP="00F866EA">
            <w:pPr>
              <w:spacing w:after="0" w:line="240" w:lineRule="auto"/>
              <w:jc w:val="left"/>
              <w:rPr>
                <w:color w:val="000000"/>
              </w:rPr>
            </w:pPr>
            <w:r>
              <w:rPr>
                <w:color w:val="000000"/>
              </w:rPr>
              <w:t>Region</w:t>
            </w:r>
          </w:p>
        </w:tc>
        <w:tc>
          <w:tcPr>
            <w:tcW w:w="1202" w:type="dxa"/>
            <w:tcBorders>
              <w:top w:val="single" w:sz="4" w:space="0" w:color="000000"/>
              <w:left w:val="nil"/>
              <w:bottom w:val="single" w:sz="4" w:space="0" w:color="000000"/>
              <w:right w:val="nil"/>
            </w:tcBorders>
            <w:shd w:val="clear" w:color="auto" w:fill="auto"/>
            <w:vAlign w:val="bottom"/>
          </w:tcPr>
          <w:p w14:paraId="2B536783" w14:textId="77777777" w:rsidR="009177AB" w:rsidRDefault="009177AB" w:rsidP="00F866EA">
            <w:pPr>
              <w:spacing w:after="0" w:line="240" w:lineRule="auto"/>
              <w:rPr>
                <w:color w:val="000000"/>
              </w:rPr>
            </w:pPr>
            <w:r>
              <w:rPr>
                <w:color w:val="000000"/>
              </w:rPr>
              <w:t>Total N</w:t>
            </w:r>
          </w:p>
        </w:tc>
        <w:tc>
          <w:tcPr>
            <w:tcW w:w="1252" w:type="dxa"/>
            <w:tcBorders>
              <w:top w:val="single" w:sz="4" w:space="0" w:color="000000"/>
              <w:left w:val="nil"/>
              <w:bottom w:val="single" w:sz="4" w:space="0" w:color="000000"/>
              <w:right w:val="nil"/>
            </w:tcBorders>
            <w:shd w:val="clear" w:color="auto" w:fill="auto"/>
            <w:vAlign w:val="bottom"/>
          </w:tcPr>
          <w:p w14:paraId="39B6E023" w14:textId="77777777" w:rsidR="009177AB" w:rsidRDefault="009177AB" w:rsidP="00F866EA">
            <w:pPr>
              <w:spacing w:after="0" w:line="240" w:lineRule="auto"/>
              <w:jc w:val="left"/>
              <w:rPr>
                <w:color w:val="000000"/>
              </w:rPr>
            </w:pPr>
            <w:r>
              <w:rPr>
                <w:color w:val="000000"/>
              </w:rPr>
              <w:t>% Female</w:t>
            </w:r>
          </w:p>
        </w:tc>
        <w:tc>
          <w:tcPr>
            <w:tcW w:w="1302" w:type="dxa"/>
            <w:tcBorders>
              <w:top w:val="single" w:sz="4" w:space="0" w:color="000000"/>
              <w:left w:val="nil"/>
              <w:bottom w:val="single" w:sz="4" w:space="0" w:color="000000"/>
              <w:right w:val="nil"/>
            </w:tcBorders>
            <w:shd w:val="clear" w:color="auto" w:fill="auto"/>
            <w:vAlign w:val="bottom"/>
          </w:tcPr>
          <w:p w14:paraId="37C1667F" w14:textId="77777777" w:rsidR="009177AB" w:rsidRDefault="009177AB" w:rsidP="00F866EA">
            <w:pPr>
              <w:spacing w:after="0" w:line="240" w:lineRule="auto"/>
              <w:jc w:val="left"/>
              <w:rPr>
                <w:color w:val="000000"/>
              </w:rPr>
            </w:pPr>
            <w:r>
              <w:rPr>
                <w:color w:val="000000"/>
              </w:rPr>
              <w:t>Mean Age</w:t>
            </w:r>
          </w:p>
        </w:tc>
      </w:tr>
      <w:tr w:rsidR="009177AB" w14:paraId="58CDEC5E" w14:textId="77777777" w:rsidTr="00F866EA">
        <w:trPr>
          <w:trHeight w:val="280"/>
        </w:trPr>
        <w:tc>
          <w:tcPr>
            <w:tcW w:w="2028" w:type="dxa"/>
            <w:tcBorders>
              <w:top w:val="single" w:sz="4" w:space="0" w:color="000000"/>
              <w:left w:val="nil"/>
              <w:bottom w:val="nil"/>
              <w:right w:val="nil"/>
            </w:tcBorders>
            <w:shd w:val="clear" w:color="auto" w:fill="auto"/>
            <w:vAlign w:val="bottom"/>
          </w:tcPr>
          <w:p w14:paraId="5A655AB7" w14:textId="77777777" w:rsidR="009177AB" w:rsidRDefault="009177AB" w:rsidP="00F866EA">
            <w:pPr>
              <w:spacing w:after="0" w:line="240" w:lineRule="auto"/>
              <w:jc w:val="left"/>
              <w:rPr>
                <w:color w:val="000000"/>
              </w:rPr>
            </w:pPr>
            <w:r>
              <w:rPr>
                <w:color w:val="000000"/>
              </w:rPr>
              <w:t>Argentina</w:t>
            </w:r>
          </w:p>
        </w:tc>
        <w:tc>
          <w:tcPr>
            <w:tcW w:w="1828" w:type="dxa"/>
            <w:tcBorders>
              <w:top w:val="single" w:sz="4" w:space="0" w:color="000000"/>
              <w:left w:val="nil"/>
              <w:bottom w:val="nil"/>
              <w:right w:val="nil"/>
            </w:tcBorders>
            <w:shd w:val="clear" w:color="auto" w:fill="auto"/>
            <w:vAlign w:val="bottom"/>
          </w:tcPr>
          <w:p w14:paraId="7D560581" w14:textId="77777777" w:rsidR="009177AB" w:rsidRDefault="009177AB" w:rsidP="00F866EA">
            <w:pPr>
              <w:spacing w:after="0" w:line="240" w:lineRule="auto"/>
              <w:jc w:val="left"/>
              <w:rPr>
                <w:color w:val="000000"/>
              </w:rPr>
            </w:pPr>
            <w:r>
              <w:rPr>
                <w:color w:val="000000"/>
              </w:rPr>
              <w:t>Latin America</w:t>
            </w:r>
          </w:p>
        </w:tc>
        <w:tc>
          <w:tcPr>
            <w:tcW w:w="1202" w:type="dxa"/>
            <w:tcBorders>
              <w:top w:val="single" w:sz="4" w:space="0" w:color="000000"/>
              <w:left w:val="nil"/>
              <w:bottom w:val="nil"/>
              <w:right w:val="nil"/>
            </w:tcBorders>
            <w:shd w:val="clear" w:color="auto" w:fill="auto"/>
            <w:vAlign w:val="bottom"/>
          </w:tcPr>
          <w:p w14:paraId="681E1CB3" w14:textId="77777777" w:rsidR="009177AB" w:rsidRDefault="009177AB" w:rsidP="00F866EA">
            <w:pPr>
              <w:spacing w:after="0" w:line="240" w:lineRule="auto"/>
              <w:rPr>
                <w:color w:val="000000"/>
              </w:rPr>
            </w:pPr>
            <w:r>
              <w:rPr>
                <w:color w:val="000000"/>
              </w:rPr>
              <w:t>140</w:t>
            </w:r>
          </w:p>
        </w:tc>
        <w:tc>
          <w:tcPr>
            <w:tcW w:w="1252" w:type="dxa"/>
            <w:tcBorders>
              <w:top w:val="single" w:sz="4" w:space="0" w:color="000000"/>
              <w:left w:val="nil"/>
              <w:bottom w:val="nil"/>
              <w:right w:val="nil"/>
            </w:tcBorders>
            <w:shd w:val="clear" w:color="auto" w:fill="auto"/>
            <w:vAlign w:val="bottom"/>
          </w:tcPr>
          <w:p w14:paraId="663FDC29" w14:textId="77777777" w:rsidR="009177AB" w:rsidRDefault="009177AB" w:rsidP="00F866EA">
            <w:pPr>
              <w:spacing w:after="0" w:line="240" w:lineRule="auto"/>
              <w:rPr>
                <w:color w:val="000000"/>
              </w:rPr>
            </w:pPr>
            <w:r>
              <w:rPr>
                <w:color w:val="000000"/>
              </w:rPr>
              <w:t>79</w:t>
            </w:r>
          </w:p>
        </w:tc>
        <w:tc>
          <w:tcPr>
            <w:tcW w:w="1302" w:type="dxa"/>
            <w:tcBorders>
              <w:top w:val="single" w:sz="4" w:space="0" w:color="000000"/>
              <w:left w:val="nil"/>
              <w:bottom w:val="nil"/>
              <w:right w:val="nil"/>
            </w:tcBorders>
            <w:shd w:val="clear" w:color="auto" w:fill="auto"/>
            <w:vAlign w:val="bottom"/>
          </w:tcPr>
          <w:p w14:paraId="3AEE08A1" w14:textId="77777777" w:rsidR="009177AB" w:rsidRDefault="009177AB" w:rsidP="00F866EA">
            <w:pPr>
              <w:spacing w:after="0" w:line="240" w:lineRule="auto"/>
              <w:rPr>
                <w:color w:val="000000"/>
              </w:rPr>
            </w:pPr>
            <w:r>
              <w:rPr>
                <w:color w:val="000000"/>
              </w:rPr>
              <w:t>24.28</w:t>
            </w:r>
          </w:p>
        </w:tc>
      </w:tr>
      <w:tr w:rsidR="009177AB" w14:paraId="159F475A" w14:textId="77777777" w:rsidTr="00F866EA">
        <w:trPr>
          <w:trHeight w:val="280"/>
        </w:trPr>
        <w:tc>
          <w:tcPr>
            <w:tcW w:w="2028" w:type="dxa"/>
            <w:tcBorders>
              <w:top w:val="nil"/>
              <w:left w:val="nil"/>
              <w:bottom w:val="nil"/>
              <w:right w:val="nil"/>
            </w:tcBorders>
            <w:shd w:val="clear" w:color="auto" w:fill="auto"/>
            <w:vAlign w:val="bottom"/>
          </w:tcPr>
          <w:p w14:paraId="6EF1B0DB" w14:textId="77777777" w:rsidR="009177AB" w:rsidRDefault="009177AB" w:rsidP="00F866EA">
            <w:pPr>
              <w:spacing w:after="0" w:line="240" w:lineRule="auto"/>
              <w:jc w:val="left"/>
              <w:rPr>
                <w:color w:val="000000"/>
              </w:rPr>
            </w:pPr>
            <w:r>
              <w:rPr>
                <w:color w:val="000000"/>
              </w:rPr>
              <w:t>Australia</w:t>
            </w:r>
          </w:p>
        </w:tc>
        <w:tc>
          <w:tcPr>
            <w:tcW w:w="1828" w:type="dxa"/>
            <w:tcBorders>
              <w:top w:val="nil"/>
              <w:left w:val="nil"/>
              <w:bottom w:val="nil"/>
              <w:right w:val="nil"/>
            </w:tcBorders>
            <w:shd w:val="clear" w:color="auto" w:fill="auto"/>
            <w:vAlign w:val="bottom"/>
          </w:tcPr>
          <w:p w14:paraId="491AB22D" w14:textId="77777777" w:rsidR="009177AB" w:rsidRDefault="009177AB" w:rsidP="00F866EA">
            <w:pPr>
              <w:spacing w:after="0" w:line="240" w:lineRule="auto"/>
              <w:jc w:val="left"/>
              <w:rPr>
                <w:color w:val="000000"/>
              </w:rPr>
            </w:pPr>
            <w:r>
              <w:rPr>
                <w:color w:val="000000"/>
              </w:rPr>
              <w:t>English West</w:t>
            </w:r>
          </w:p>
        </w:tc>
        <w:tc>
          <w:tcPr>
            <w:tcW w:w="1202" w:type="dxa"/>
            <w:tcBorders>
              <w:top w:val="nil"/>
              <w:left w:val="nil"/>
              <w:bottom w:val="nil"/>
              <w:right w:val="nil"/>
            </w:tcBorders>
            <w:shd w:val="clear" w:color="auto" w:fill="auto"/>
            <w:vAlign w:val="bottom"/>
          </w:tcPr>
          <w:p w14:paraId="2032427D" w14:textId="77777777" w:rsidR="009177AB" w:rsidRDefault="009177AB" w:rsidP="00F866EA">
            <w:pPr>
              <w:spacing w:after="0" w:line="240" w:lineRule="auto"/>
              <w:rPr>
                <w:color w:val="000000"/>
              </w:rPr>
            </w:pPr>
            <w:r>
              <w:rPr>
                <w:color w:val="000000"/>
              </w:rPr>
              <w:t>196</w:t>
            </w:r>
          </w:p>
        </w:tc>
        <w:tc>
          <w:tcPr>
            <w:tcW w:w="1252" w:type="dxa"/>
            <w:tcBorders>
              <w:top w:val="nil"/>
              <w:left w:val="nil"/>
              <w:bottom w:val="nil"/>
              <w:right w:val="nil"/>
            </w:tcBorders>
            <w:shd w:val="clear" w:color="auto" w:fill="auto"/>
            <w:vAlign w:val="bottom"/>
          </w:tcPr>
          <w:p w14:paraId="432D7C98" w14:textId="77777777" w:rsidR="009177AB" w:rsidRDefault="009177AB" w:rsidP="00F866EA">
            <w:pPr>
              <w:spacing w:after="0" w:line="240" w:lineRule="auto"/>
              <w:rPr>
                <w:color w:val="000000"/>
              </w:rPr>
            </w:pPr>
            <w:r>
              <w:rPr>
                <w:color w:val="000000"/>
              </w:rPr>
              <w:t>76</w:t>
            </w:r>
          </w:p>
        </w:tc>
        <w:tc>
          <w:tcPr>
            <w:tcW w:w="1302" w:type="dxa"/>
            <w:tcBorders>
              <w:top w:val="nil"/>
              <w:left w:val="nil"/>
              <w:bottom w:val="nil"/>
              <w:right w:val="nil"/>
            </w:tcBorders>
            <w:shd w:val="clear" w:color="auto" w:fill="auto"/>
            <w:vAlign w:val="bottom"/>
          </w:tcPr>
          <w:p w14:paraId="43119C20" w14:textId="77777777" w:rsidR="009177AB" w:rsidRDefault="009177AB" w:rsidP="00F866EA">
            <w:pPr>
              <w:spacing w:after="0" w:line="240" w:lineRule="auto"/>
              <w:rPr>
                <w:color w:val="000000"/>
              </w:rPr>
            </w:pPr>
            <w:r>
              <w:rPr>
                <w:color w:val="000000"/>
              </w:rPr>
              <w:t>19.84</w:t>
            </w:r>
          </w:p>
        </w:tc>
      </w:tr>
      <w:tr w:rsidR="009177AB" w14:paraId="79745816" w14:textId="77777777" w:rsidTr="00F866EA">
        <w:trPr>
          <w:trHeight w:val="280"/>
        </w:trPr>
        <w:tc>
          <w:tcPr>
            <w:tcW w:w="2028" w:type="dxa"/>
            <w:tcBorders>
              <w:top w:val="nil"/>
              <w:left w:val="nil"/>
              <w:bottom w:val="nil"/>
              <w:right w:val="nil"/>
            </w:tcBorders>
            <w:shd w:val="clear" w:color="auto" w:fill="auto"/>
            <w:vAlign w:val="bottom"/>
          </w:tcPr>
          <w:p w14:paraId="1A81055D" w14:textId="77777777" w:rsidR="009177AB" w:rsidRDefault="009177AB" w:rsidP="00F866EA">
            <w:pPr>
              <w:spacing w:after="0" w:line="240" w:lineRule="auto"/>
              <w:jc w:val="left"/>
              <w:rPr>
                <w:color w:val="000000"/>
              </w:rPr>
            </w:pPr>
            <w:r>
              <w:rPr>
                <w:color w:val="000000"/>
              </w:rPr>
              <w:t>Austria</w:t>
            </w:r>
          </w:p>
        </w:tc>
        <w:tc>
          <w:tcPr>
            <w:tcW w:w="1828" w:type="dxa"/>
            <w:tcBorders>
              <w:top w:val="nil"/>
              <w:left w:val="nil"/>
              <w:bottom w:val="nil"/>
              <w:right w:val="nil"/>
            </w:tcBorders>
            <w:shd w:val="clear" w:color="auto" w:fill="auto"/>
            <w:vAlign w:val="bottom"/>
          </w:tcPr>
          <w:p w14:paraId="62B78711"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35C57F8D" w14:textId="77777777" w:rsidR="009177AB" w:rsidRDefault="009177AB" w:rsidP="00F866EA">
            <w:pPr>
              <w:spacing w:after="0" w:line="240" w:lineRule="auto"/>
              <w:rPr>
                <w:color w:val="000000"/>
              </w:rPr>
            </w:pPr>
            <w:r>
              <w:rPr>
                <w:color w:val="000000"/>
              </w:rPr>
              <w:t>113</w:t>
            </w:r>
          </w:p>
        </w:tc>
        <w:tc>
          <w:tcPr>
            <w:tcW w:w="1252" w:type="dxa"/>
            <w:tcBorders>
              <w:top w:val="nil"/>
              <w:left w:val="nil"/>
              <w:bottom w:val="nil"/>
              <w:right w:val="nil"/>
            </w:tcBorders>
            <w:shd w:val="clear" w:color="auto" w:fill="auto"/>
            <w:vAlign w:val="bottom"/>
          </w:tcPr>
          <w:p w14:paraId="74BB1F08" w14:textId="77777777" w:rsidR="009177AB" w:rsidRDefault="009177AB" w:rsidP="00F866EA">
            <w:pPr>
              <w:spacing w:after="0" w:line="240" w:lineRule="auto"/>
              <w:rPr>
                <w:color w:val="000000"/>
              </w:rPr>
            </w:pPr>
            <w:r>
              <w:rPr>
                <w:color w:val="000000"/>
              </w:rPr>
              <w:t>81</w:t>
            </w:r>
          </w:p>
        </w:tc>
        <w:tc>
          <w:tcPr>
            <w:tcW w:w="1302" w:type="dxa"/>
            <w:tcBorders>
              <w:top w:val="nil"/>
              <w:left w:val="nil"/>
              <w:bottom w:val="nil"/>
              <w:right w:val="nil"/>
            </w:tcBorders>
            <w:shd w:val="clear" w:color="auto" w:fill="auto"/>
            <w:vAlign w:val="bottom"/>
          </w:tcPr>
          <w:p w14:paraId="49A27BCE" w14:textId="77777777" w:rsidR="009177AB" w:rsidRDefault="009177AB" w:rsidP="00F866EA">
            <w:pPr>
              <w:spacing w:after="0" w:line="240" w:lineRule="auto"/>
              <w:rPr>
                <w:color w:val="000000"/>
              </w:rPr>
            </w:pPr>
            <w:r>
              <w:rPr>
                <w:color w:val="000000"/>
              </w:rPr>
              <w:t>21.26</w:t>
            </w:r>
          </w:p>
        </w:tc>
      </w:tr>
      <w:tr w:rsidR="009177AB" w14:paraId="650096F4" w14:textId="77777777" w:rsidTr="00F866EA">
        <w:trPr>
          <w:trHeight w:val="280"/>
        </w:trPr>
        <w:tc>
          <w:tcPr>
            <w:tcW w:w="2028" w:type="dxa"/>
            <w:tcBorders>
              <w:top w:val="nil"/>
              <w:left w:val="nil"/>
              <w:bottom w:val="nil"/>
              <w:right w:val="nil"/>
            </w:tcBorders>
            <w:shd w:val="clear" w:color="auto" w:fill="auto"/>
            <w:vAlign w:val="bottom"/>
          </w:tcPr>
          <w:p w14:paraId="7F64446A" w14:textId="77777777" w:rsidR="009177AB" w:rsidRDefault="009177AB" w:rsidP="00F866EA">
            <w:pPr>
              <w:spacing w:after="0" w:line="240" w:lineRule="auto"/>
              <w:jc w:val="left"/>
              <w:rPr>
                <w:color w:val="000000"/>
              </w:rPr>
            </w:pPr>
            <w:r>
              <w:rPr>
                <w:color w:val="000000"/>
              </w:rPr>
              <w:t>Belgium</w:t>
            </w:r>
          </w:p>
        </w:tc>
        <w:tc>
          <w:tcPr>
            <w:tcW w:w="1828" w:type="dxa"/>
            <w:tcBorders>
              <w:top w:val="nil"/>
              <w:left w:val="nil"/>
              <w:bottom w:val="nil"/>
              <w:right w:val="nil"/>
            </w:tcBorders>
            <w:shd w:val="clear" w:color="auto" w:fill="auto"/>
            <w:vAlign w:val="bottom"/>
          </w:tcPr>
          <w:p w14:paraId="44A1A399"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080DFFA0" w14:textId="77777777" w:rsidR="009177AB" w:rsidRDefault="009177AB" w:rsidP="00F866EA">
            <w:pPr>
              <w:spacing w:after="0" w:line="240" w:lineRule="auto"/>
              <w:rPr>
                <w:color w:val="000000"/>
              </w:rPr>
            </w:pPr>
            <w:r>
              <w:rPr>
                <w:color w:val="000000"/>
              </w:rPr>
              <w:t>50</w:t>
            </w:r>
          </w:p>
        </w:tc>
        <w:tc>
          <w:tcPr>
            <w:tcW w:w="1252" w:type="dxa"/>
            <w:tcBorders>
              <w:top w:val="nil"/>
              <w:left w:val="nil"/>
              <w:bottom w:val="nil"/>
              <w:right w:val="nil"/>
            </w:tcBorders>
            <w:shd w:val="clear" w:color="auto" w:fill="auto"/>
            <w:vAlign w:val="bottom"/>
          </w:tcPr>
          <w:p w14:paraId="1C1444D7" w14:textId="77777777" w:rsidR="009177AB" w:rsidRDefault="009177AB" w:rsidP="00F866EA">
            <w:pPr>
              <w:spacing w:after="0" w:line="240" w:lineRule="auto"/>
              <w:rPr>
                <w:color w:val="000000"/>
              </w:rPr>
            </w:pPr>
            <w:r>
              <w:rPr>
                <w:color w:val="000000"/>
              </w:rPr>
              <w:t>84</w:t>
            </w:r>
          </w:p>
        </w:tc>
        <w:tc>
          <w:tcPr>
            <w:tcW w:w="1302" w:type="dxa"/>
            <w:tcBorders>
              <w:top w:val="nil"/>
              <w:left w:val="nil"/>
              <w:bottom w:val="nil"/>
              <w:right w:val="nil"/>
            </w:tcBorders>
            <w:shd w:val="clear" w:color="auto" w:fill="auto"/>
            <w:vAlign w:val="bottom"/>
          </w:tcPr>
          <w:p w14:paraId="50A1A9EC" w14:textId="77777777" w:rsidR="009177AB" w:rsidRDefault="009177AB" w:rsidP="00F866EA">
            <w:pPr>
              <w:spacing w:after="0" w:line="240" w:lineRule="auto"/>
              <w:rPr>
                <w:color w:val="000000"/>
              </w:rPr>
            </w:pPr>
            <w:r>
              <w:rPr>
                <w:color w:val="000000"/>
              </w:rPr>
              <w:t>19.14</w:t>
            </w:r>
          </w:p>
        </w:tc>
      </w:tr>
      <w:tr w:rsidR="009177AB" w14:paraId="63AAE0E8" w14:textId="77777777" w:rsidTr="00F866EA">
        <w:trPr>
          <w:trHeight w:val="280"/>
        </w:trPr>
        <w:tc>
          <w:tcPr>
            <w:tcW w:w="2028" w:type="dxa"/>
            <w:tcBorders>
              <w:top w:val="nil"/>
              <w:left w:val="nil"/>
              <w:bottom w:val="nil"/>
              <w:right w:val="nil"/>
            </w:tcBorders>
            <w:shd w:val="clear" w:color="auto" w:fill="auto"/>
            <w:vAlign w:val="bottom"/>
          </w:tcPr>
          <w:p w14:paraId="62ABEEC6" w14:textId="77777777" w:rsidR="009177AB" w:rsidRDefault="009177AB" w:rsidP="00F866EA">
            <w:pPr>
              <w:spacing w:after="0" w:line="240" w:lineRule="auto"/>
              <w:jc w:val="left"/>
              <w:rPr>
                <w:color w:val="000000"/>
              </w:rPr>
            </w:pPr>
            <w:r>
              <w:rPr>
                <w:color w:val="000000"/>
              </w:rPr>
              <w:t>Bolivia</w:t>
            </w:r>
          </w:p>
        </w:tc>
        <w:tc>
          <w:tcPr>
            <w:tcW w:w="1828" w:type="dxa"/>
            <w:tcBorders>
              <w:top w:val="nil"/>
              <w:left w:val="nil"/>
              <w:bottom w:val="nil"/>
              <w:right w:val="nil"/>
            </w:tcBorders>
            <w:shd w:val="clear" w:color="auto" w:fill="auto"/>
            <w:vAlign w:val="bottom"/>
          </w:tcPr>
          <w:p w14:paraId="78F3FD7D" w14:textId="77777777" w:rsidR="009177AB" w:rsidRDefault="009177AB" w:rsidP="00F866EA">
            <w:pPr>
              <w:spacing w:after="0" w:line="240" w:lineRule="auto"/>
              <w:jc w:val="left"/>
              <w:rPr>
                <w:color w:val="000000"/>
              </w:rPr>
            </w:pPr>
            <w:r>
              <w:rPr>
                <w:color w:val="000000"/>
              </w:rPr>
              <w:t>Latin America</w:t>
            </w:r>
          </w:p>
        </w:tc>
        <w:tc>
          <w:tcPr>
            <w:tcW w:w="1202" w:type="dxa"/>
            <w:tcBorders>
              <w:top w:val="nil"/>
              <w:left w:val="nil"/>
              <w:bottom w:val="nil"/>
              <w:right w:val="nil"/>
            </w:tcBorders>
            <w:shd w:val="clear" w:color="auto" w:fill="auto"/>
            <w:vAlign w:val="bottom"/>
          </w:tcPr>
          <w:p w14:paraId="4350A344" w14:textId="77777777" w:rsidR="009177AB" w:rsidRDefault="009177AB" w:rsidP="00F866EA">
            <w:pPr>
              <w:spacing w:after="0" w:line="240" w:lineRule="auto"/>
              <w:rPr>
                <w:color w:val="000000"/>
              </w:rPr>
            </w:pPr>
            <w:r>
              <w:rPr>
                <w:color w:val="000000"/>
              </w:rPr>
              <w:t>135</w:t>
            </w:r>
          </w:p>
        </w:tc>
        <w:tc>
          <w:tcPr>
            <w:tcW w:w="1252" w:type="dxa"/>
            <w:tcBorders>
              <w:top w:val="nil"/>
              <w:left w:val="nil"/>
              <w:bottom w:val="nil"/>
              <w:right w:val="nil"/>
            </w:tcBorders>
            <w:shd w:val="clear" w:color="auto" w:fill="auto"/>
            <w:vAlign w:val="bottom"/>
          </w:tcPr>
          <w:p w14:paraId="07942F1D" w14:textId="77777777" w:rsidR="009177AB" w:rsidRDefault="009177AB" w:rsidP="00F866EA">
            <w:pPr>
              <w:spacing w:after="0" w:line="240" w:lineRule="auto"/>
              <w:rPr>
                <w:color w:val="000000"/>
              </w:rPr>
            </w:pPr>
            <w:r>
              <w:rPr>
                <w:color w:val="000000"/>
              </w:rPr>
              <w:t>58</w:t>
            </w:r>
          </w:p>
        </w:tc>
        <w:tc>
          <w:tcPr>
            <w:tcW w:w="1302" w:type="dxa"/>
            <w:tcBorders>
              <w:top w:val="nil"/>
              <w:left w:val="nil"/>
              <w:bottom w:val="nil"/>
              <w:right w:val="nil"/>
            </w:tcBorders>
            <w:shd w:val="clear" w:color="auto" w:fill="auto"/>
            <w:vAlign w:val="bottom"/>
          </w:tcPr>
          <w:p w14:paraId="5AE022FB" w14:textId="77777777" w:rsidR="009177AB" w:rsidRDefault="009177AB" w:rsidP="00F866EA">
            <w:pPr>
              <w:spacing w:after="0" w:line="240" w:lineRule="auto"/>
              <w:rPr>
                <w:color w:val="000000"/>
              </w:rPr>
            </w:pPr>
            <w:r>
              <w:rPr>
                <w:color w:val="000000"/>
              </w:rPr>
              <w:t>21.01</w:t>
            </w:r>
          </w:p>
        </w:tc>
      </w:tr>
      <w:tr w:rsidR="009177AB" w14:paraId="7EA37293" w14:textId="77777777" w:rsidTr="00F866EA">
        <w:trPr>
          <w:trHeight w:val="280"/>
        </w:trPr>
        <w:tc>
          <w:tcPr>
            <w:tcW w:w="2028" w:type="dxa"/>
            <w:tcBorders>
              <w:top w:val="nil"/>
              <w:left w:val="nil"/>
              <w:bottom w:val="nil"/>
              <w:right w:val="nil"/>
            </w:tcBorders>
            <w:shd w:val="clear" w:color="auto" w:fill="auto"/>
            <w:vAlign w:val="bottom"/>
          </w:tcPr>
          <w:p w14:paraId="2D830970" w14:textId="77777777" w:rsidR="009177AB" w:rsidRDefault="009177AB" w:rsidP="00F866EA">
            <w:pPr>
              <w:spacing w:after="0" w:line="240" w:lineRule="auto"/>
              <w:jc w:val="left"/>
              <w:rPr>
                <w:color w:val="000000"/>
              </w:rPr>
            </w:pPr>
            <w:r>
              <w:rPr>
                <w:color w:val="000000"/>
              </w:rPr>
              <w:t>Brazil</w:t>
            </w:r>
          </w:p>
        </w:tc>
        <w:tc>
          <w:tcPr>
            <w:tcW w:w="1828" w:type="dxa"/>
            <w:tcBorders>
              <w:top w:val="nil"/>
              <w:left w:val="nil"/>
              <w:bottom w:val="nil"/>
              <w:right w:val="nil"/>
            </w:tcBorders>
            <w:shd w:val="clear" w:color="auto" w:fill="auto"/>
            <w:vAlign w:val="bottom"/>
          </w:tcPr>
          <w:p w14:paraId="170DC968" w14:textId="77777777" w:rsidR="009177AB" w:rsidRDefault="009177AB" w:rsidP="00F866EA">
            <w:pPr>
              <w:spacing w:after="0" w:line="240" w:lineRule="auto"/>
              <w:jc w:val="left"/>
              <w:rPr>
                <w:color w:val="000000"/>
              </w:rPr>
            </w:pPr>
            <w:r>
              <w:rPr>
                <w:color w:val="000000"/>
              </w:rPr>
              <w:t>Latin America</w:t>
            </w:r>
          </w:p>
        </w:tc>
        <w:tc>
          <w:tcPr>
            <w:tcW w:w="1202" w:type="dxa"/>
            <w:tcBorders>
              <w:top w:val="nil"/>
              <w:left w:val="nil"/>
              <w:bottom w:val="nil"/>
              <w:right w:val="nil"/>
            </w:tcBorders>
            <w:shd w:val="clear" w:color="auto" w:fill="auto"/>
            <w:vAlign w:val="bottom"/>
          </w:tcPr>
          <w:p w14:paraId="06F46BB5" w14:textId="77777777" w:rsidR="009177AB" w:rsidRDefault="009177AB" w:rsidP="00F866EA">
            <w:pPr>
              <w:spacing w:after="0" w:line="240" w:lineRule="auto"/>
              <w:rPr>
                <w:color w:val="000000"/>
              </w:rPr>
            </w:pPr>
            <w:r>
              <w:rPr>
                <w:color w:val="000000"/>
              </w:rPr>
              <w:t>310</w:t>
            </w:r>
          </w:p>
        </w:tc>
        <w:tc>
          <w:tcPr>
            <w:tcW w:w="1252" w:type="dxa"/>
            <w:tcBorders>
              <w:top w:val="nil"/>
              <w:left w:val="nil"/>
              <w:bottom w:val="nil"/>
              <w:right w:val="nil"/>
            </w:tcBorders>
            <w:shd w:val="clear" w:color="auto" w:fill="auto"/>
            <w:vAlign w:val="bottom"/>
          </w:tcPr>
          <w:p w14:paraId="69D4B8D2" w14:textId="77777777" w:rsidR="009177AB" w:rsidRDefault="009177AB" w:rsidP="00F866EA">
            <w:pPr>
              <w:spacing w:after="0" w:line="240" w:lineRule="auto"/>
              <w:rPr>
                <w:color w:val="000000"/>
              </w:rPr>
            </w:pPr>
            <w:r>
              <w:rPr>
                <w:color w:val="000000"/>
              </w:rPr>
              <w:t>72</w:t>
            </w:r>
          </w:p>
        </w:tc>
        <w:tc>
          <w:tcPr>
            <w:tcW w:w="1302" w:type="dxa"/>
            <w:tcBorders>
              <w:top w:val="nil"/>
              <w:left w:val="nil"/>
              <w:bottom w:val="nil"/>
              <w:right w:val="nil"/>
            </w:tcBorders>
            <w:shd w:val="clear" w:color="auto" w:fill="auto"/>
            <w:vAlign w:val="bottom"/>
          </w:tcPr>
          <w:p w14:paraId="20C347BA" w14:textId="77777777" w:rsidR="009177AB" w:rsidRDefault="009177AB" w:rsidP="00F866EA">
            <w:pPr>
              <w:spacing w:after="0" w:line="240" w:lineRule="auto"/>
              <w:rPr>
                <w:color w:val="000000"/>
              </w:rPr>
            </w:pPr>
            <w:r>
              <w:rPr>
                <w:color w:val="000000"/>
              </w:rPr>
              <w:t>23.69</w:t>
            </w:r>
          </w:p>
        </w:tc>
      </w:tr>
      <w:tr w:rsidR="009177AB" w14:paraId="6EA2A1BC" w14:textId="77777777" w:rsidTr="00F866EA">
        <w:trPr>
          <w:trHeight w:val="280"/>
        </w:trPr>
        <w:tc>
          <w:tcPr>
            <w:tcW w:w="2028" w:type="dxa"/>
            <w:tcBorders>
              <w:top w:val="nil"/>
              <w:left w:val="nil"/>
              <w:bottom w:val="nil"/>
              <w:right w:val="nil"/>
            </w:tcBorders>
            <w:shd w:val="clear" w:color="auto" w:fill="auto"/>
            <w:vAlign w:val="bottom"/>
          </w:tcPr>
          <w:p w14:paraId="5F6F6098" w14:textId="77777777" w:rsidR="009177AB" w:rsidRDefault="009177AB" w:rsidP="00F866EA">
            <w:pPr>
              <w:spacing w:after="0" w:line="240" w:lineRule="auto"/>
              <w:jc w:val="left"/>
              <w:rPr>
                <w:color w:val="000000"/>
              </w:rPr>
            </w:pPr>
            <w:r>
              <w:rPr>
                <w:color w:val="000000"/>
              </w:rPr>
              <w:t>Bulgaria</w:t>
            </w:r>
          </w:p>
        </w:tc>
        <w:tc>
          <w:tcPr>
            <w:tcW w:w="1828" w:type="dxa"/>
            <w:tcBorders>
              <w:top w:val="nil"/>
              <w:left w:val="nil"/>
              <w:bottom w:val="nil"/>
              <w:right w:val="nil"/>
            </w:tcBorders>
            <w:shd w:val="clear" w:color="auto" w:fill="auto"/>
            <w:vAlign w:val="bottom"/>
          </w:tcPr>
          <w:p w14:paraId="4ED99656"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0C694965" w14:textId="77777777" w:rsidR="009177AB" w:rsidRDefault="009177AB" w:rsidP="00F866EA">
            <w:pPr>
              <w:spacing w:after="0" w:line="240" w:lineRule="auto"/>
              <w:rPr>
                <w:color w:val="000000"/>
              </w:rPr>
            </w:pPr>
            <w:r>
              <w:rPr>
                <w:color w:val="000000"/>
              </w:rPr>
              <w:t>152</w:t>
            </w:r>
          </w:p>
        </w:tc>
        <w:tc>
          <w:tcPr>
            <w:tcW w:w="1252" w:type="dxa"/>
            <w:tcBorders>
              <w:top w:val="nil"/>
              <w:left w:val="nil"/>
              <w:bottom w:val="nil"/>
              <w:right w:val="nil"/>
            </w:tcBorders>
            <w:shd w:val="clear" w:color="auto" w:fill="auto"/>
            <w:vAlign w:val="bottom"/>
          </w:tcPr>
          <w:p w14:paraId="3E316D9A" w14:textId="77777777" w:rsidR="009177AB" w:rsidRDefault="009177AB" w:rsidP="00F866EA">
            <w:pPr>
              <w:spacing w:after="0" w:line="240" w:lineRule="auto"/>
              <w:rPr>
                <w:color w:val="000000"/>
              </w:rPr>
            </w:pPr>
            <w:r>
              <w:rPr>
                <w:color w:val="000000"/>
              </w:rPr>
              <w:t>70</w:t>
            </w:r>
          </w:p>
        </w:tc>
        <w:tc>
          <w:tcPr>
            <w:tcW w:w="1302" w:type="dxa"/>
            <w:tcBorders>
              <w:top w:val="nil"/>
              <w:left w:val="nil"/>
              <w:bottom w:val="nil"/>
              <w:right w:val="nil"/>
            </w:tcBorders>
            <w:shd w:val="clear" w:color="auto" w:fill="auto"/>
            <w:vAlign w:val="bottom"/>
          </w:tcPr>
          <w:p w14:paraId="0946727C" w14:textId="77777777" w:rsidR="009177AB" w:rsidRDefault="009177AB" w:rsidP="00F866EA">
            <w:pPr>
              <w:spacing w:after="0" w:line="240" w:lineRule="auto"/>
              <w:rPr>
                <w:color w:val="000000"/>
              </w:rPr>
            </w:pPr>
            <w:r>
              <w:rPr>
                <w:color w:val="000000"/>
              </w:rPr>
              <w:t>25.02</w:t>
            </w:r>
          </w:p>
        </w:tc>
      </w:tr>
      <w:tr w:rsidR="009177AB" w14:paraId="10C733AD" w14:textId="77777777" w:rsidTr="00F866EA">
        <w:trPr>
          <w:trHeight w:val="280"/>
        </w:trPr>
        <w:tc>
          <w:tcPr>
            <w:tcW w:w="2028" w:type="dxa"/>
            <w:tcBorders>
              <w:top w:val="nil"/>
              <w:left w:val="nil"/>
              <w:bottom w:val="nil"/>
              <w:right w:val="nil"/>
            </w:tcBorders>
            <w:shd w:val="clear" w:color="auto" w:fill="auto"/>
            <w:vAlign w:val="bottom"/>
          </w:tcPr>
          <w:p w14:paraId="7023AD51" w14:textId="77777777" w:rsidR="009177AB" w:rsidRDefault="009177AB" w:rsidP="00F866EA">
            <w:pPr>
              <w:spacing w:after="0" w:line="240" w:lineRule="auto"/>
              <w:jc w:val="left"/>
              <w:rPr>
                <w:color w:val="000000"/>
              </w:rPr>
            </w:pPr>
            <w:r>
              <w:rPr>
                <w:color w:val="000000"/>
              </w:rPr>
              <w:t>Canada</w:t>
            </w:r>
          </w:p>
        </w:tc>
        <w:tc>
          <w:tcPr>
            <w:tcW w:w="1828" w:type="dxa"/>
            <w:tcBorders>
              <w:top w:val="nil"/>
              <w:left w:val="nil"/>
              <w:bottom w:val="nil"/>
              <w:right w:val="nil"/>
            </w:tcBorders>
            <w:shd w:val="clear" w:color="auto" w:fill="auto"/>
            <w:vAlign w:val="bottom"/>
          </w:tcPr>
          <w:p w14:paraId="23BCFEBA" w14:textId="77777777" w:rsidR="009177AB" w:rsidRDefault="009177AB" w:rsidP="00F866EA">
            <w:pPr>
              <w:spacing w:after="0" w:line="240" w:lineRule="auto"/>
              <w:jc w:val="left"/>
              <w:rPr>
                <w:color w:val="000000"/>
              </w:rPr>
            </w:pPr>
            <w:r>
              <w:rPr>
                <w:color w:val="000000"/>
              </w:rPr>
              <w:t>English West</w:t>
            </w:r>
          </w:p>
        </w:tc>
        <w:tc>
          <w:tcPr>
            <w:tcW w:w="1202" w:type="dxa"/>
            <w:tcBorders>
              <w:top w:val="nil"/>
              <w:left w:val="nil"/>
              <w:bottom w:val="nil"/>
              <w:right w:val="nil"/>
            </w:tcBorders>
            <w:shd w:val="clear" w:color="auto" w:fill="auto"/>
            <w:vAlign w:val="bottom"/>
          </w:tcPr>
          <w:p w14:paraId="2484FA9E" w14:textId="77777777" w:rsidR="009177AB" w:rsidRDefault="009177AB" w:rsidP="00F866EA">
            <w:pPr>
              <w:spacing w:after="0" w:line="240" w:lineRule="auto"/>
              <w:rPr>
                <w:color w:val="000000"/>
              </w:rPr>
            </w:pPr>
            <w:r>
              <w:rPr>
                <w:color w:val="000000"/>
              </w:rPr>
              <w:t>304</w:t>
            </w:r>
          </w:p>
        </w:tc>
        <w:tc>
          <w:tcPr>
            <w:tcW w:w="1252" w:type="dxa"/>
            <w:tcBorders>
              <w:top w:val="nil"/>
              <w:left w:val="nil"/>
              <w:bottom w:val="nil"/>
              <w:right w:val="nil"/>
            </w:tcBorders>
            <w:shd w:val="clear" w:color="auto" w:fill="auto"/>
            <w:vAlign w:val="bottom"/>
          </w:tcPr>
          <w:p w14:paraId="1C8F3919" w14:textId="77777777" w:rsidR="009177AB" w:rsidRDefault="009177AB" w:rsidP="00F866EA">
            <w:pPr>
              <w:spacing w:after="0" w:line="240" w:lineRule="auto"/>
              <w:rPr>
                <w:color w:val="000000"/>
              </w:rPr>
            </w:pPr>
            <w:r>
              <w:rPr>
                <w:color w:val="000000"/>
              </w:rPr>
              <w:t>79</w:t>
            </w:r>
          </w:p>
        </w:tc>
        <w:tc>
          <w:tcPr>
            <w:tcW w:w="1302" w:type="dxa"/>
            <w:tcBorders>
              <w:top w:val="nil"/>
              <w:left w:val="nil"/>
              <w:bottom w:val="nil"/>
              <w:right w:val="nil"/>
            </w:tcBorders>
            <w:shd w:val="clear" w:color="auto" w:fill="auto"/>
            <w:vAlign w:val="bottom"/>
          </w:tcPr>
          <w:p w14:paraId="3D8E2250" w14:textId="77777777" w:rsidR="009177AB" w:rsidRDefault="009177AB" w:rsidP="00F866EA">
            <w:pPr>
              <w:spacing w:after="0" w:line="240" w:lineRule="auto"/>
              <w:rPr>
                <w:color w:val="000000"/>
              </w:rPr>
            </w:pPr>
            <w:r>
              <w:rPr>
                <w:color w:val="000000"/>
              </w:rPr>
              <w:t>21.85</w:t>
            </w:r>
          </w:p>
        </w:tc>
      </w:tr>
      <w:tr w:rsidR="009177AB" w14:paraId="6EBD10BB" w14:textId="77777777" w:rsidTr="00F866EA">
        <w:trPr>
          <w:trHeight w:val="280"/>
        </w:trPr>
        <w:tc>
          <w:tcPr>
            <w:tcW w:w="2028" w:type="dxa"/>
            <w:tcBorders>
              <w:top w:val="nil"/>
              <w:left w:val="nil"/>
              <w:bottom w:val="nil"/>
              <w:right w:val="nil"/>
            </w:tcBorders>
            <w:shd w:val="clear" w:color="auto" w:fill="auto"/>
            <w:vAlign w:val="bottom"/>
          </w:tcPr>
          <w:p w14:paraId="45163ACE" w14:textId="77777777" w:rsidR="009177AB" w:rsidRDefault="009177AB" w:rsidP="00F866EA">
            <w:pPr>
              <w:spacing w:after="0" w:line="240" w:lineRule="auto"/>
              <w:jc w:val="left"/>
              <w:rPr>
                <w:color w:val="000000"/>
              </w:rPr>
            </w:pPr>
            <w:r>
              <w:rPr>
                <w:color w:val="000000"/>
              </w:rPr>
              <w:t>Chile</w:t>
            </w:r>
          </w:p>
        </w:tc>
        <w:tc>
          <w:tcPr>
            <w:tcW w:w="1828" w:type="dxa"/>
            <w:tcBorders>
              <w:top w:val="nil"/>
              <w:left w:val="nil"/>
              <w:bottom w:val="nil"/>
              <w:right w:val="nil"/>
            </w:tcBorders>
            <w:shd w:val="clear" w:color="auto" w:fill="auto"/>
            <w:vAlign w:val="bottom"/>
          </w:tcPr>
          <w:p w14:paraId="00DACB34" w14:textId="77777777" w:rsidR="009177AB" w:rsidRDefault="009177AB" w:rsidP="00F866EA">
            <w:pPr>
              <w:spacing w:after="0" w:line="240" w:lineRule="auto"/>
              <w:jc w:val="left"/>
              <w:rPr>
                <w:color w:val="000000"/>
              </w:rPr>
            </w:pPr>
            <w:r>
              <w:rPr>
                <w:color w:val="000000"/>
              </w:rPr>
              <w:t>Latin America</w:t>
            </w:r>
          </w:p>
        </w:tc>
        <w:tc>
          <w:tcPr>
            <w:tcW w:w="1202" w:type="dxa"/>
            <w:tcBorders>
              <w:top w:val="nil"/>
              <w:left w:val="nil"/>
              <w:bottom w:val="nil"/>
              <w:right w:val="nil"/>
            </w:tcBorders>
            <w:shd w:val="clear" w:color="auto" w:fill="auto"/>
            <w:vAlign w:val="bottom"/>
          </w:tcPr>
          <w:p w14:paraId="64B23F9D" w14:textId="77777777" w:rsidR="009177AB" w:rsidRDefault="009177AB" w:rsidP="00F866EA">
            <w:pPr>
              <w:spacing w:after="0" w:line="240" w:lineRule="auto"/>
              <w:rPr>
                <w:color w:val="000000"/>
              </w:rPr>
            </w:pPr>
            <w:r>
              <w:rPr>
                <w:color w:val="000000"/>
              </w:rPr>
              <w:t>386</w:t>
            </w:r>
          </w:p>
        </w:tc>
        <w:tc>
          <w:tcPr>
            <w:tcW w:w="1252" w:type="dxa"/>
            <w:tcBorders>
              <w:top w:val="nil"/>
              <w:left w:val="nil"/>
              <w:bottom w:val="nil"/>
              <w:right w:val="nil"/>
            </w:tcBorders>
            <w:shd w:val="clear" w:color="auto" w:fill="auto"/>
            <w:vAlign w:val="bottom"/>
          </w:tcPr>
          <w:p w14:paraId="253F4CF2" w14:textId="77777777" w:rsidR="009177AB" w:rsidRDefault="009177AB" w:rsidP="00F866EA">
            <w:pPr>
              <w:spacing w:after="0" w:line="240" w:lineRule="auto"/>
              <w:rPr>
                <w:color w:val="000000"/>
              </w:rPr>
            </w:pPr>
            <w:r>
              <w:rPr>
                <w:color w:val="000000"/>
              </w:rPr>
              <w:t>66</w:t>
            </w:r>
          </w:p>
        </w:tc>
        <w:tc>
          <w:tcPr>
            <w:tcW w:w="1302" w:type="dxa"/>
            <w:tcBorders>
              <w:top w:val="nil"/>
              <w:left w:val="nil"/>
              <w:bottom w:val="nil"/>
              <w:right w:val="nil"/>
            </w:tcBorders>
            <w:shd w:val="clear" w:color="auto" w:fill="auto"/>
            <w:vAlign w:val="bottom"/>
          </w:tcPr>
          <w:p w14:paraId="087795DE" w14:textId="77777777" w:rsidR="009177AB" w:rsidRDefault="009177AB" w:rsidP="00F866EA">
            <w:pPr>
              <w:spacing w:after="0" w:line="240" w:lineRule="auto"/>
              <w:rPr>
                <w:color w:val="000000"/>
              </w:rPr>
            </w:pPr>
            <w:r>
              <w:rPr>
                <w:color w:val="000000"/>
              </w:rPr>
              <w:t>21.47</w:t>
            </w:r>
          </w:p>
        </w:tc>
      </w:tr>
      <w:tr w:rsidR="009177AB" w14:paraId="6284F9AE" w14:textId="77777777" w:rsidTr="00F866EA">
        <w:trPr>
          <w:trHeight w:val="280"/>
        </w:trPr>
        <w:tc>
          <w:tcPr>
            <w:tcW w:w="2028" w:type="dxa"/>
            <w:tcBorders>
              <w:top w:val="nil"/>
              <w:left w:val="nil"/>
              <w:bottom w:val="nil"/>
              <w:right w:val="nil"/>
            </w:tcBorders>
            <w:shd w:val="clear" w:color="auto" w:fill="auto"/>
            <w:vAlign w:val="bottom"/>
          </w:tcPr>
          <w:p w14:paraId="6637C0C8" w14:textId="77777777" w:rsidR="009177AB" w:rsidRDefault="009177AB" w:rsidP="00F866EA">
            <w:pPr>
              <w:spacing w:after="0" w:line="240" w:lineRule="auto"/>
              <w:jc w:val="left"/>
              <w:rPr>
                <w:color w:val="000000"/>
              </w:rPr>
            </w:pPr>
            <w:r>
              <w:rPr>
                <w:color w:val="000000"/>
              </w:rPr>
              <w:t>China</w:t>
            </w:r>
          </w:p>
        </w:tc>
        <w:tc>
          <w:tcPr>
            <w:tcW w:w="1828" w:type="dxa"/>
            <w:tcBorders>
              <w:top w:val="nil"/>
              <w:left w:val="nil"/>
              <w:bottom w:val="nil"/>
              <w:right w:val="nil"/>
            </w:tcBorders>
            <w:shd w:val="clear" w:color="auto" w:fill="auto"/>
            <w:vAlign w:val="bottom"/>
          </w:tcPr>
          <w:p w14:paraId="03EB9366" w14:textId="77777777" w:rsidR="009177AB" w:rsidRDefault="009177AB" w:rsidP="00F866EA">
            <w:pPr>
              <w:spacing w:after="0" w:line="240" w:lineRule="auto"/>
              <w:jc w:val="left"/>
              <w:rPr>
                <w:color w:val="000000"/>
              </w:rPr>
            </w:pPr>
            <w:r>
              <w:rPr>
                <w:color w:val="000000"/>
              </w:rPr>
              <w:t>East Asia</w:t>
            </w:r>
          </w:p>
        </w:tc>
        <w:tc>
          <w:tcPr>
            <w:tcW w:w="1202" w:type="dxa"/>
            <w:tcBorders>
              <w:top w:val="nil"/>
              <w:left w:val="nil"/>
              <w:bottom w:val="nil"/>
              <w:right w:val="nil"/>
            </w:tcBorders>
            <w:shd w:val="clear" w:color="auto" w:fill="auto"/>
            <w:vAlign w:val="bottom"/>
          </w:tcPr>
          <w:p w14:paraId="7F826241" w14:textId="77777777" w:rsidR="009177AB" w:rsidRDefault="009177AB" w:rsidP="00F866EA">
            <w:pPr>
              <w:spacing w:after="0" w:line="240" w:lineRule="auto"/>
              <w:rPr>
                <w:color w:val="000000"/>
              </w:rPr>
            </w:pPr>
            <w:r>
              <w:rPr>
                <w:color w:val="000000"/>
              </w:rPr>
              <w:t>432</w:t>
            </w:r>
          </w:p>
        </w:tc>
        <w:tc>
          <w:tcPr>
            <w:tcW w:w="1252" w:type="dxa"/>
            <w:tcBorders>
              <w:top w:val="nil"/>
              <w:left w:val="nil"/>
              <w:bottom w:val="nil"/>
              <w:right w:val="nil"/>
            </w:tcBorders>
            <w:shd w:val="clear" w:color="auto" w:fill="auto"/>
            <w:vAlign w:val="bottom"/>
          </w:tcPr>
          <w:p w14:paraId="48004C47" w14:textId="77777777" w:rsidR="009177AB" w:rsidRDefault="009177AB" w:rsidP="00F866EA">
            <w:pPr>
              <w:spacing w:after="0" w:line="240" w:lineRule="auto"/>
              <w:rPr>
                <w:color w:val="000000"/>
              </w:rPr>
            </w:pPr>
            <w:r>
              <w:rPr>
                <w:color w:val="000000"/>
              </w:rPr>
              <w:t>48</w:t>
            </w:r>
          </w:p>
        </w:tc>
        <w:tc>
          <w:tcPr>
            <w:tcW w:w="1302" w:type="dxa"/>
            <w:tcBorders>
              <w:top w:val="nil"/>
              <w:left w:val="nil"/>
              <w:bottom w:val="nil"/>
              <w:right w:val="nil"/>
            </w:tcBorders>
            <w:shd w:val="clear" w:color="auto" w:fill="auto"/>
            <w:vAlign w:val="bottom"/>
          </w:tcPr>
          <w:p w14:paraId="4E7B1297" w14:textId="77777777" w:rsidR="009177AB" w:rsidRDefault="009177AB" w:rsidP="00F866EA">
            <w:pPr>
              <w:spacing w:after="0" w:line="240" w:lineRule="auto"/>
              <w:rPr>
                <w:color w:val="000000"/>
              </w:rPr>
            </w:pPr>
            <w:r>
              <w:rPr>
                <w:color w:val="000000"/>
              </w:rPr>
              <w:t>22.63</w:t>
            </w:r>
          </w:p>
        </w:tc>
      </w:tr>
      <w:tr w:rsidR="009177AB" w14:paraId="7A30D54E" w14:textId="77777777" w:rsidTr="00F866EA">
        <w:trPr>
          <w:trHeight w:val="280"/>
        </w:trPr>
        <w:tc>
          <w:tcPr>
            <w:tcW w:w="2028" w:type="dxa"/>
            <w:tcBorders>
              <w:top w:val="nil"/>
              <w:left w:val="nil"/>
              <w:bottom w:val="nil"/>
              <w:right w:val="nil"/>
            </w:tcBorders>
            <w:shd w:val="clear" w:color="auto" w:fill="auto"/>
            <w:vAlign w:val="bottom"/>
          </w:tcPr>
          <w:p w14:paraId="226B6559" w14:textId="77777777" w:rsidR="009177AB" w:rsidRDefault="009177AB" w:rsidP="00F866EA">
            <w:pPr>
              <w:spacing w:after="0" w:line="240" w:lineRule="auto"/>
              <w:jc w:val="left"/>
              <w:rPr>
                <w:color w:val="000000"/>
              </w:rPr>
            </w:pPr>
            <w:r>
              <w:rPr>
                <w:color w:val="000000"/>
              </w:rPr>
              <w:t>Colombia</w:t>
            </w:r>
          </w:p>
        </w:tc>
        <w:tc>
          <w:tcPr>
            <w:tcW w:w="1828" w:type="dxa"/>
            <w:tcBorders>
              <w:top w:val="nil"/>
              <w:left w:val="nil"/>
              <w:bottom w:val="nil"/>
              <w:right w:val="nil"/>
            </w:tcBorders>
            <w:shd w:val="clear" w:color="auto" w:fill="auto"/>
            <w:vAlign w:val="bottom"/>
          </w:tcPr>
          <w:p w14:paraId="0D1BD8B5" w14:textId="77777777" w:rsidR="009177AB" w:rsidRDefault="009177AB" w:rsidP="00F866EA">
            <w:pPr>
              <w:spacing w:after="0" w:line="240" w:lineRule="auto"/>
              <w:jc w:val="left"/>
              <w:rPr>
                <w:color w:val="000000"/>
              </w:rPr>
            </w:pPr>
            <w:r>
              <w:rPr>
                <w:color w:val="000000"/>
              </w:rPr>
              <w:t>Latin America</w:t>
            </w:r>
          </w:p>
        </w:tc>
        <w:tc>
          <w:tcPr>
            <w:tcW w:w="1202" w:type="dxa"/>
            <w:tcBorders>
              <w:top w:val="nil"/>
              <w:left w:val="nil"/>
              <w:bottom w:val="nil"/>
              <w:right w:val="nil"/>
            </w:tcBorders>
            <w:shd w:val="clear" w:color="auto" w:fill="auto"/>
            <w:vAlign w:val="bottom"/>
          </w:tcPr>
          <w:p w14:paraId="00555546" w14:textId="77777777" w:rsidR="009177AB" w:rsidRDefault="009177AB" w:rsidP="00F866EA">
            <w:pPr>
              <w:spacing w:after="0" w:line="240" w:lineRule="auto"/>
              <w:rPr>
                <w:color w:val="000000"/>
              </w:rPr>
            </w:pPr>
            <w:r>
              <w:rPr>
                <w:color w:val="000000"/>
              </w:rPr>
              <w:t>181</w:t>
            </w:r>
          </w:p>
        </w:tc>
        <w:tc>
          <w:tcPr>
            <w:tcW w:w="1252" w:type="dxa"/>
            <w:tcBorders>
              <w:top w:val="nil"/>
              <w:left w:val="nil"/>
              <w:bottom w:val="nil"/>
              <w:right w:val="nil"/>
            </w:tcBorders>
            <w:shd w:val="clear" w:color="auto" w:fill="auto"/>
            <w:vAlign w:val="bottom"/>
          </w:tcPr>
          <w:p w14:paraId="64B516C6" w14:textId="77777777" w:rsidR="009177AB" w:rsidRDefault="009177AB" w:rsidP="00F866EA">
            <w:pPr>
              <w:spacing w:after="0" w:line="240" w:lineRule="auto"/>
              <w:rPr>
                <w:color w:val="000000"/>
              </w:rPr>
            </w:pPr>
            <w:r>
              <w:rPr>
                <w:color w:val="000000"/>
              </w:rPr>
              <w:t>74</w:t>
            </w:r>
          </w:p>
        </w:tc>
        <w:tc>
          <w:tcPr>
            <w:tcW w:w="1302" w:type="dxa"/>
            <w:tcBorders>
              <w:top w:val="nil"/>
              <w:left w:val="nil"/>
              <w:bottom w:val="nil"/>
              <w:right w:val="nil"/>
            </w:tcBorders>
            <w:shd w:val="clear" w:color="auto" w:fill="auto"/>
            <w:vAlign w:val="bottom"/>
          </w:tcPr>
          <w:p w14:paraId="12379A8D" w14:textId="77777777" w:rsidR="009177AB" w:rsidRDefault="009177AB" w:rsidP="00F866EA">
            <w:pPr>
              <w:spacing w:after="0" w:line="240" w:lineRule="auto"/>
              <w:rPr>
                <w:color w:val="000000"/>
              </w:rPr>
            </w:pPr>
            <w:r>
              <w:rPr>
                <w:color w:val="000000"/>
              </w:rPr>
              <w:t>21.68</w:t>
            </w:r>
          </w:p>
        </w:tc>
      </w:tr>
      <w:tr w:rsidR="009177AB" w14:paraId="627620C0" w14:textId="77777777" w:rsidTr="00F866EA">
        <w:trPr>
          <w:trHeight w:val="280"/>
        </w:trPr>
        <w:tc>
          <w:tcPr>
            <w:tcW w:w="2028" w:type="dxa"/>
            <w:tcBorders>
              <w:top w:val="nil"/>
              <w:left w:val="nil"/>
              <w:bottom w:val="nil"/>
              <w:right w:val="nil"/>
            </w:tcBorders>
            <w:shd w:val="clear" w:color="auto" w:fill="auto"/>
            <w:vAlign w:val="bottom"/>
          </w:tcPr>
          <w:p w14:paraId="3E74197B" w14:textId="77777777" w:rsidR="009177AB" w:rsidRDefault="009177AB" w:rsidP="00F866EA">
            <w:pPr>
              <w:spacing w:after="0" w:line="240" w:lineRule="auto"/>
              <w:jc w:val="left"/>
              <w:rPr>
                <w:color w:val="000000"/>
              </w:rPr>
            </w:pPr>
            <w:r>
              <w:rPr>
                <w:color w:val="000000"/>
              </w:rPr>
              <w:t>Croatia</w:t>
            </w:r>
          </w:p>
        </w:tc>
        <w:tc>
          <w:tcPr>
            <w:tcW w:w="1828" w:type="dxa"/>
            <w:tcBorders>
              <w:top w:val="nil"/>
              <w:left w:val="nil"/>
              <w:bottom w:val="nil"/>
              <w:right w:val="nil"/>
            </w:tcBorders>
            <w:shd w:val="clear" w:color="auto" w:fill="auto"/>
            <w:vAlign w:val="bottom"/>
          </w:tcPr>
          <w:p w14:paraId="07025F2D"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0109EC83" w14:textId="77777777" w:rsidR="009177AB" w:rsidRDefault="009177AB" w:rsidP="00F866EA">
            <w:pPr>
              <w:spacing w:after="0" w:line="240" w:lineRule="auto"/>
              <w:rPr>
                <w:color w:val="000000"/>
              </w:rPr>
            </w:pPr>
            <w:r>
              <w:rPr>
                <w:color w:val="000000"/>
              </w:rPr>
              <w:t>218</w:t>
            </w:r>
          </w:p>
        </w:tc>
        <w:tc>
          <w:tcPr>
            <w:tcW w:w="1252" w:type="dxa"/>
            <w:tcBorders>
              <w:top w:val="nil"/>
              <w:left w:val="nil"/>
              <w:bottom w:val="nil"/>
              <w:right w:val="nil"/>
            </w:tcBorders>
            <w:shd w:val="clear" w:color="auto" w:fill="auto"/>
            <w:vAlign w:val="bottom"/>
          </w:tcPr>
          <w:p w14:paraId="74C302AD" w14:textId="77777777" w:rsidR="009177AB" w:rsidRDefault="009177AB" w:rsidP="00F866EA">
            <w:pPr>
              <w:spacing w:after="0" w:line="240" w:lineRule="auto"/>
              <w:rPr>
                <w:color w:val="000000"/>
              </w:rPr>
            </w:pPr>
            <w:r>
              <w:rPr>
                <w:color w:val="000000"/>
              </w:rPr>
              <w:t>65</w:t>
            </w:r>
          </w:p>
        </w:tc>
        <w:tc>
          <w:tcPr>
            <w:tcW w:w="1302" w:type="dxa"/>
            <w:tcBorders>
              <w:top w:val="nil"/>
              <w:left w:val="nil"/>
              <w:bottom w:val="nil"/>
              <w:right w:val="nil"/>
            </w:tcBorders>
            <w:shd w:val="clear" w:color="auto" w:fill="auto"/>
            <w:vAlign w:val="bottom"/>
          </w:tcPr>
          <w:p w14:paraId="784AA3AD" w14:textId="77777777" w:rsidR="009177AB" w:rsidRDefault="009177AB" w:rsidP="00F866EA">
            <w:pPr>
              <w:spacing w:after="0" w:line="240" w:lineRule="auto"/>
              <w:rPr>
                <w:color w:val="000000"/>
              </w:rPr>
            </w:pPr>
            <w:r>
              <w:rPr>
                <w:color w:val="000000"/>
              </w:rPr>
              <w:t>21.46</w:t>
            </w:r>
          </w:p>
        </w:tc>
      </w:tr>
      <w:tr w:rsidR="009177AB" w14:paraId="7E3D599F" w14:textId="77777777" w:rsidTr="00F866EA">
        <w:trPr>
          <w:trHeight w:val="280"/>
        </w:trPr>
        <w:tc>
          <w:tcPr>
            <w:tcW w:w="2028" w:type="dxa"/>
            <w:tcBorders>
              <w:top w:val="nil"/>
              <w:left w:val="nil"/>
              <w:bottom w:val="nil"/>
              <w:right w:val="nil"/>
            </w:tcBorders>
            <w:shd w:val="clear" w:color="auto" w:fill="auto"/>
            <w:vAlign w:val="bottom"/>
          </w:tcPr>
          <w:p w14:paraId="68D35E28" w14:textId="77777777" w:rsidR="009177AB" w:rsidRDefault="009177AB" w:rsidP="00F866EA">
            <w:pPr>
              <w:spacing w:after="0" w:line="240" w:lineRule="auto"/>
              <w:jc w:val="left"/>
              <w:rPr>
                <w:color w:val="000000"/>
              </w:rPr>
            </w:pPr>
            <w:r>
              <w:rPr>
                <w:color w:val="000000"/>
              </w:rPr>
              <w:t>Czech Republic</w:t>
            </w:r>
          </w:p>
        </w:tc>
        <w:tc>
          <w:tcPr>
            <w:tcW w:w="1828" w:type="dxa"/>
            <w:tcBorders>
              <w:top w:val="nil"/>
              <w:left w:val="nil"/>
              <w:bottom w:val="nil"/>
              <w:right w:val="nil"/>
            </w:tcBorders>
            <w:shd w:val="clear" w:color="auto" w:fill="auto"/>
            <w:vAlign w:val="bottom"/>
          </w:tcPr>
          <w:p w14:paraId="0FD020C4"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3E85B8D3" w14:textId="77777777" w:rsidR="009177AB" w:rsidRDefault="009177AB" w:rsidP="00F866EA">
            <w:pPr>
              <w:spacing w:after="0" w:line="240" w:lineRule="auto"/>
              <w:rPr>
                <w:color w:val="000000"/>
              </w:rPr>
            </w:pPr>
            <w:r>
              <w:rPr>
                <w:color w:val="000000"/>
              </w:rPr>
              <w:t>193</w:t>
            </w:r>
          </w:p>
        </w:tc>
        <w:tc>
          <w:tcPr>
            <w:tcW w:w="1252" w:type="dxa"/>
            <w:tcBorders>
              <w:top w:val="nil"/>
              <w:left w:val="nil"/>
              <w:bottom w:val="nil"/>
              <w:right w:val="nil"/>
            </w:tcBorders>
            <w:shd w:val="clear" w:color="auto" w:fill="auto"/>
            <w:vAlign w:val="bottom"/>
          </w:tcPr>
          <w:p w14:paraId="2B104448" w14:textId="77777777" w:rsidR="009177AB" w:rsidRDefault="009177AB" w:rsidP="00F866EA">
            <w:pPr>
              <w:spacing w:after="0" w:line="240" w:lineRule="auto"/>
              <w:rPr>
                <w:color w:val="000000"/>
              </w:rPr>
            </w:pPr>
            <w:r>
              <w:rPr>
                <w:color w:val="000000"/>
              </w:rPr>
              <w:t>81</w:t>
            </w:r>
          </w:p>
        </w:tc>
        <w:tc>
          <w:tcPr>
            <w:tcW w:w="1302" w:type="dxa"/>
            <w:tcBorders>
              <w:top w:val="nil"/>
              <w:left w:val="nil"/>
              <w:bottom w:val="nil"/>
              <w:right w:val="nil"/>
            </w:tcBorders>
            <w:shd w:val="clear" w:color="auto" w:fill="auto"/>
            <w:vAlign w:val="bottom"/>
          </w:tcPr>
          <w:p w14:paraId="2A183887" w14:textId="77777777" w:rsidR="009177AB" w:rsidRDefault="009177AB" w:rsidP="00F866EA">
            <w:pPr>
              <w:spacing w:after="0" w:line="240" w:lineRule="auto"/>
              <w:rPr>
                <w:color w:val="000000"/>
              </w:rPr>
            </w:pPr>
            <w:r>
              <w:rPr>
                <w:color w:val="000000"/>
              </w:rPr>
              <w:t>22.65</w:t>
            </w:r>
          </w:p>
        </w:tc>
      </w:tr>
      <w:tr w:rsidR="009177AB" w14:paraId="08803A25" w14:textId="77777777" w:rsidTr="00F866EA">
        <w:trPr>
          <w:trHeight w:val="280"/>
        </w:trPr>
        <w:tc>
          <w:tcPr>
            <w:tcW w:w="2028" w:type="dxa"/>
            <w:tcBorders>
              <w:top w:val="nil"/>
              <w:left w:val="nil"/>
              <w:bottom w:val="nil"/>
              <w:right w:val="nil"/>
            </w:tcBorders>
            <w:shd w:val="clear" w:color="auto" w:fill="auto"/>
            <w:vAlign w:val="bottom"/>
          </w:tcPr>
          <w:p w14:paraId="12A42D03" w14:textId="77777777" w:rsidR="009177AB" w:rsidRDefault="009177AB" w:rsidP="00F866EA">
            <w:pPr>
              <w:spacing w:after="0" w:line="240" w:lineRule="auto"/>
              <w:jc w:val="left"/>
              <w:rPr>
                <w:color w:val="000000"/>
              </w:rPr>
            </w:pPr>
            <w:r>
              <w:rPr>
                <w:color w:val="000000"/>
              </w:rPr>
              <w:t>Denmark</w:t>
            </w:r>
          </w:p>
        </w:tc>
        <w:tc>
          <w:tcPr>
            <w:tcW w:w="1828" w:type="dxa"/>
            <w:tcBorders>
              <w:top w:val="nil"/>
              <w:left w:val="nil"/>
              <w:bottom w:val="nil"/>
              <w:right w:val="nil"/>
            </w:tcBorders>
            <w:shd w:val="clear" w:color="auto" w:fill="auto"/>
            <w:vAlign w:val="bottom"/>
          </w:tcPr>
          <w:p w14:paraId="3F5F967E"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511D47C6" w14:textId="77777777" w:rsidR="009177AB" w:rsidRDefault="009177AB" w:rsidP="00F866EA">
            <w:pPr>
              <w:spacing w:after="0" w:line="240" w:lineRule="auto"/>
              <w:rPr>
                <w:color w:val="000000"/>
              </w:rPr>
            </w:pPr>
            <w:r>
              <w:rPr>
                <w:color w:val="000000"/>
              </w:rPr>
              <w:t>246</w:t>
            </w:r>
          </w:p>
        </w:tc>
        <w:tc>
          <w:tcPr>
            <w:tcW w:w="1252" w:type="dxa"/>
            <w:tcBorders>
              <w:top w:val="nil"/>
              <w:left w:val="nil"/>
              <w:bottom w:val="nil"/>
              <w:right w:val="nil"/>
            </w:tcBorders>
            <w:shd w:val="clear" w:color="auto" w:fill="auto"/>
            <w:vAlign w:val="bottom"/>
          </w:tcPr>
          <w:p w14:paraId="6B575543" w14:textId="77777777" w:rsidR="009177AB" w:rsidRDefault="009177AB" w:rsidP="00F866EA">
            <w:pPr>
              <w:spacing w:after="0" w:line="240" w:lineRule="auto"/>
              <w:rPr>
                <w:color w:val="000000"/>
              </w:rPr>
            </w:pPr>
            <w:r>
              <w:rPr>
                <w:color w:val="000000"/>
              </w:rPr>
              <w:t>79</w:t>
            </w:r>
          </w:p>
        </w:tc>
        <w:tc>
          <w:tcPr>
            <w:tcW w:w="1302" w:type="dxa"/>
            <w:tcBorders>
              <w:top w:val="nil"/>
              <w:left w:val="nil"/>
              <w:bottom w:val="nil"/>
              <w:right w:val="nil"/>
            </w:tcBorders>
            <w:shd w:val="clear" w:color="auto" w:fill="auto"/>
            <w:vAlign w:val="bottom"/>
          </w:tcPr>
          <w:p w14:paraId="106EDF7B" w14:textId="77777777" w:rsidR="009177AB" w:rsidRDefault="009177AB" w:rsidP="00F866EA">
            <w:pPr>
              <w:spacing w:after="0" w:line="240" w:lineRule="auto"/>
              <w:rPr>
                <w:color w:val="000000"/>
              </w:rPr>
            </w:pPr>
            <w:r>
              <w:rPr>
                <w:color w:val="000000"/>
              </w:rPr>
              <w:t>22.92</w:t>
            </w:r>
          </w:p>
        </w:tc>
      </w:tr>
      <w:tr w:rsidR="009177AB" w14:paraId="378724A6" w14:textId="77777777" w:rsidTr="00F866EA">
        <w:trPr>
          <w:trHeight w:val="280"/>
        </w:trPr>
        <w:tc>
          <w:tcPr>
            <w:tcW w:w="2028" w:type="dxa"/>
            <w:tcBorders>
              <w:top w:val="nil"/>
              <w:left w:val="nil"/>
              <w:bottom w:val="nil"/>
              <w:right w:val="nil"/>
            </w:tcBorders>
            <w:shd w:val="clear" w:color="auto" w:fill="auto"/>
            <w:vAlign w:val="bottom"/>
          </w:tcPr>
          <w:p w14:paraId="3A43435B" w14:textId="77777777" w:rsidR="009177AB" w:rsidRDefault="009177AB" w:rsidP="00F866EA">
            <w:pPr>
              <w:spacing w:after="0" w:line="240" w:lineRule="auto"/>
              <w:jc w:val="left"/>
              <w:rPr>
                <w:color w:val="000000"/>
              </w:rPr>
            </w:pPr>
            <w:r>
              <w:rPr>
                <w:color w:val="000000"/>
              </w:rPr>
              <w:t>Estonia</w:t>
            </w:r>
          </w:p>
        </w:tc>
        <w:tc>
          <w:tcPr>
            <w:tcW w:w="1828" w:type="dxa"/>
            <w:tcBorders>
              <w:top w:val="nil"/>
              <w:left w:val="nil"/>
              <w:bottom w:val="nil"/>
              <w:right w:val="nil"/>
            </w:tcBorders>
            <w:shd w:val="clear" w:color="auto" w:fill="auto"/>
            <w:vAlign w:val="bottom"/>
          </w:tcPr>
          <w:p w14:paraId="417BD073"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45F8B62D" w14:textId="77777777" w:rsidR="009177AB" w:rsidRDefault="009177AB" w:rsidP="00F866EA">
            <w:pPr>
              <w:spacing w:after="0" w:line="240" w:lineRule="auto"/>
              <w:rPr>
                <w:color w:val="000000"/>
              </w:rPr>
            </w:pPr>
            <w:r>
              <w:rPr>
                <w:color w:val="000000"/>
              </w:rPr>
              <w:t>293</w:t>
            </w:r>
          </w:p>
        </w:tc>
        <w:tc>
          <w:tcPr>
            <w:tcW w:w="1252" w:type="dxa"/>
            <w:tcBorders>
              <w:top w:val="nil"/>
              <w:left w:val="nil"/>
              <w:bottom w:val="nil"/>
              <w:right w:val="nil"/>
            </w:tcBorders>
            <w:shd w:val="clear" w:color="auto" w:fill="auto"/>
            <w:vAlign w:val="bottom"/>
          </w:tcPr>
          <w:p w14:paraId="7171B37D" w14:textId="77777777" w:rsidR="009177AB" w:rsidRDefault="009177AB" w:rsidP="00F866EA">
            <w:pPr>
              <w:spacing w:after="0" w:line="240" w:lineRule="auto"/>
              <w:rPr>
                <w:color w:val="000000"/>
              </w:rPr>
            </w:pPr>
            <w:r>
              <w:rPr>
                <w:color w:val="000000"/>
              </w:rPr>
              <w:t>84</w:t>
            </w:r>
          </w:p>
        </w:tc>
        <w:tc>
          <w:tcPr>
            <w:tcW w:w="1302" w:type="dxa"/>
            <w:tcBorders>
              <w:top w:val="nil"/>
              <w:left w:val="nil"/>
              <w:bottom w:val="nil"/>
              <w:right w:val="nil"/>
            </w:tcBorders>
            <w:shd w:val="clear" w:color="auto" w:fill="auto"/>
            <w:vAlign w:val="bottom"/>
          </w:tcPr>
          <w:p w14:paraId="31FFA5C4" w14:textId="77777777" w:rsidR="009177AB" w:rsidRDefault="009177AB" w:rsidP="00F866EA">
            <w:pPr>
              <w:spacing w:after="0" w:line="240" w:lineRule="auto"/>
              <w:rPr>
                <w:color w:val="000000"/>
              </w:rPr>
            </w:pPr>
            <w:r>
              <w:rPr>
                <w:color w:val="000000"/>
              </w:rPr>
              <w:t>25.88</w:t>
            </w:r>
          </w:p>
        </w:tc>
      </w:tr>
      <w:tr w:rsidR="009177AB" w14:paraId="68100832" w14:textId="77777777" w:rsidTr="00F866EA">
        <w:trPr>
          <w:trHeight w:val="280"/>
        </w:trPr>
        <w:tc>
          <w:tcPr>
            <w:tcW w:w="2028" w:type="dxa"/>
            <w:tcBorders>
              <w:top w:val="nil"/>
              <w:left w:val="nil"/>
              <w:bottom w:val="nil"/>
              <w:right w:val="nil"/>
            </w:tcBorders>
            <w:shd w:val="clear" w:color="auto" w:fill="auto"/>
            <w:vAlign w:val="bottom"/>
          </w:tcPr>
          <w:p w14:paraId="5695C2FA" w14:textId="77777777" w:rsidR="009177AB" w:rsidRDefault="009177AB" w:rsidP="00F866EA">
            <w:pPr>
              <w:spacing w:after="0" w:line="240" w:lineRule="auto"/>
              <w:jc w:val="left"/>
              <w:rPr>
                <w:color w:val="000000"/>
              </w:rPr>
            </w:pPr>
            <w:r>
              <w:rPr>
                <w:color w:val="000000"/>
              </w:rPr>
              <w:t>France</w:t>
            </w:r>
          </w:p>
        </w:tc>
        <w:tc>
          <w:tcPr>
            <w:tcW w:w="1828" w:type="dxa"/>
            <w:tcBorders>
              <w:top w:val="nil"/>
              <w:left w:val="nil"/>
              <w:bottom w:val="nil"/>
              <w:right w:val="nil"/>
            </w:tcBorders>
            <w:shd w:val="clear" w:color="auto" w:fill="auto"/>
            <w:vAlign w:val="bottom"/>
          </w:tcPr>
          <w:p w14:paraId="4A65E662"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42441737" w14:textId="77777777" w:rsidR="009177AB" w:rsidRDefault="009177AB" w:rsidP="00F866EA">
            <w:pPr>
              <w:spacing w:after="0" w:line="240" w:lineRule="auto"/>
              <w:rPr>
                <w:color w:val="000000"/>
              </w:rPr>
            </w:pPr>
            <w:r>
              <w:rPr>
                <w:color w:val="000000"/>
              </w:rPr>
              <w:t>231</w:t>
            </w:r>
          </w:p>
        </w:tc>
        <w:tc>
          <w:tcPr>
            <w:tcW w:w="1252" w:type="dxa"/>
            <w:tcBorders>
              <w:top w:val="nil"/>
              <w:left w:val="nil"/>
              <w:bottom w:val="nil"/>
              <w:right w:val="nil"/>
            </w:tcBorders>
            <w:shd w:val="clear" w:color="auto" w:fill="auto"/>
            <w:vAlign w:val="bottom"/>
          </w:tcPr>
          <w:p w14:paraId="493B7C1C" w14:textId="77777777" w:rsidR="009177AB" w:rsidRDefault="009177AB" w:rsidP="00F866EA">
            <w:pPr>
              <w:spacing w:after="0" w:line="240" w:lineRule="auto"/>
              <w:rPr>
                <w:color w:val="000000"/>
              </w:rPr>
            </w:pPr>
            <w:r>
              <w:rPr>
                <w:color w:val="000000"/>
              </w:rPr>
              <w:t>84</w:t>
            </w:r>
          </w:p>
        </w:tc>
        <w:tc>
          <w:tcPr>
            <w:tcW w:w="1302" w:type="dxa"/>
            <w:tcBorders>
              <w:top w:val="nil"/>
              <w:left w:val="nil"/>
              <w:bottom w:val="nil"/>
              <w:right w:val="nil"/>
            </w:tcBorders>
            <w:shd w:val="clear" w:color="auto" w:fill="auto"/>
            <w:vAlign w:val="bottom"/>
          </w:tcPr>
          <w:p w14:paraId="0A1523EE" w14:textId="77777777" w:rsidR="009177AB" w:rsidRDefault="009177AB" w:rsidP="00F866EA">
            <w:pPr>
              <w:spacing w:after="0" w:line="240" w:lineRule="auto"/>
              <w:rPr>
                <w:color w:val="000000"/>
              </w:rPr>
            </w:pPr>
            <w:r>
              <w:rPr>
                <w:color w:val="000000"/>
              </w:rPr>
              <w:t>22.58</w:t>
            </w:r>
          </w:p>
        </w:tc>
      </w:tr>
      <w:tr w:rsidR="009177AB" w14:paraId="27DD4D35" w14:textId="77777777" w:rsidTr="00F866EA">
        <w:trPr>
          <w:trHeight w:val="280"/>
        </w:trPr>
        <w:tc>
          <w:tcPr>
            <w:tcW w:w="2028" w:type="dxa"/>
            <w:tcBorders>
              <w:top w:val="nil"/>
              <w:left w:val="nil"/>
              <w:bottom w:val="nil"/>
              <w:right w:val="nil"/>
            </w:tcBorders>
            <w:shd w:val="clear" w:color="auto" w:fill="auto"/>
            <w:vAlign w:val="bottom"/>
          </w:tcPr>
          <w:p w14:paraId="4A1762D8" w14:textId="77777777" w:rsidR="009177AB" w:rsidRDefault="009177AB" w:rsidP="00F866EA">
            <w:pPr>
              <w:spacing w:after="0" w:line="240" w:lineRule="auto"/>
              <w:jc w:val="left"/>
              <w:rPr>
                <w:color w:val="000000"/>
              </w:rPr>
            </w:pPr>
            <w:r>
              <w:rPr>
                <w:color w:val="000000"/>
              </w:rPr>
              <w:t>Georgia</w:t>
            </w:r>
          </w:p>
        </w:tc>
        <w:tc>
          <w:tcPr>
            <w:tcW w:w="1828" w:type="dxa"/>
            <w:tcBorders>
              <w:top w:val="nil"/>
              <w:left w:val="nil"/>
              <w:bottom w:val="nil"/>
              <w:right w:val="nil"/>
            </w:tcBorders>
            <w:shd w:val="clear" w:color="auto" w:fill="auto"/>
            <w:vAlign w:val="bottom"/>
          </w:tcPr>
          <w:p w14:paraId="7E37DBE5"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3FFBE1D1" w14:textId="77777777" w:rsidR="009177AB" w:rsidRDefault="009177AB" w:rsidP="00F866EA">
            <w:pPr>
              <w:spacing w:after="0" w:line="240" w:lineRule="auto"/>
              <w:rPr>
                <w:color w:val="000000"/>
              </w:rPr>
            </w:pPr>
            <w:r>
              <w:rPr>
                <w:color w:val="000000"/>
              </w:rPr>
              <w:t>140</w:t>
            </w:r>
          </w:p>
        </w:tc>
        <w:tc>
          <w:tcPr>
            <w:tcW w:w="1252" w:type="dxa"/>
            <w:tcBorders>
              <w:top w:val="nil"/>
              <w:left w:val="nil"/>
              <w:bottom w:val="nil"/>
              <w:right w:val="nil"/>
            </w:tcBorders>
            <w:shd w:val="clear" w:color="auto" w:fill="auto"/>
            <w:vAlign w:val="bottom"/>
          </w:tcPr>
          <w:p w14:paraId="3D12F20E" w14:textId="77777777" w:rsidR="009177AB" w:rsidRDefault="009177AB" w:rsidP="00F866EA">
            <w:pPr>
              <w:spacing w:after="0" w:line="240" w:lineRule="auto"/>
              <w:rPr>
                <w:color w:val="000000"/>
              </w:rPr>
            </w:pPr>
            <w:r>
              <w:rPr>
                <w:color w:val="000000"/>
              </w:rPr>
              <w:t>80</w:t>
            </w:r>
          </w:p>
        </w:tc>
        <w:tc>
          <w:tcPr>
            <w:tcW w:w="1302" w:type="dxa"/>
            <w:tcBorders>
              <w:top w:val="nil"/>
              <w:left w:val="nil"/>
              <w:bottom w:val="nil"/>
              <w:right w:val="nil"/>
            </w:tcBorders>
            <w:shd w:val="clear" w:color="auto" w:fill="auto"/>
            <w:vAlign w:val="bottom"/>
          </w:tcPr>
          <w:p w14:paraId="1ADCE8D7" w14:textId="77777777" w:rsidR="009177AB" w:rsidRDefault="009177AB" w:rsidP="00F866EA">
            <w:pPr>
              <w:spacing w:after="0" w:line="240" w:lineRule="auto"/>
              <w:rPr>
                <w:color w:val="000000"/>
              </w:rPr>
            </w:pPr>
            <w:r>
              <w:rPr>
                <w:color w:val="000000"/>
              </w:rPr>
              <w:t>20.29</w:t>
            </w:r>
          </w:p>
        </w:tc>
      </w:tr>
      <w:tr w:rsidR="009177AB" w14:paraId="43C426D3" w14:textId="77777777" w:rsidTr="00F866EA">
        <w:trPr>
          <w:trHeight w:val="280"/>
        </w:trPr>
        <w:tc>
          <w:tcPr>
            <w:tcW w:w="2028" w:type="dxa"/>
            <w:tcBorders>
              <w:top w:val="nil"/>
              <w:left w:val="nil"/>
              <w:bottom w:val="nil"/>
              <w:right w:val="nil"/>
            </w:tcBorders>
            <w:shd w:val="clear" w:color="auto" w:fill="auto"/>
            <w:vAlign w:val="bottom"/>
          </w:tcPr>
          <w:p w14:paraId="6FE7C092" w14:textId="77777777" w:rsidR="009177AB" w:rsidRDefault="009177AB" w:rsidP="00F866EA">
            <w:pPr>
              <w:spacing w:after="0" w:line="240" w:lineRule="auto"/>
              <w:jc w:val="left"/>
              <w:rPr>
                <w:color w:val="000000"/>
              </w:rPr>
            </w:pPr>
            <w:r>
              <w:rPr>
                <w:color w:val="000000"/>
              </w:rPr>
              <w:t>Germany</w:t>
            </w:r>
          </w:p>
        </w:tc>
        <w:tc>
          <w:tcPr>
            <w:tcW w:w="1828" w:type="dxa"/>
            <w:tcBorders>
              <w:top w:val="nil"/>
              <w:left w:val="nil"/>
              <w:bottom w:val="nil"/>
              <w:right w:val="nil"/>
            </w:tcBorders>
            <w:shd w:val="clear" w:color="auto" w:fill="auto"/>
            <w:vAlign w:val="bottom"/>
          </w:tcPr>
          <w:p w14:paraId="28D38478"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558DCAEE" w14:textId="77777777" w:rsidR="009177AB" w:rsidRDefault="009177AB" w:rsidP="00F866EA">
            <w:pPr>
              <w:spacing w:after="0" w:line="240" w:lineRule="auto"/>
              <w:rPr>
                <w:color w:val="000000"/>
              </w:rPr>
            </w:pPr>
            <w:r>
              <w:rPr>
                <w:color w:val="000000"/>
              </w:rPr>
              <w:t>458</w:t>
            </w:r>
          </w:p>
        </w:tc>
        <w:tc>
          <w:tcPr>
            <w:tcW w:w="1252" w:type="dxa"/>
            <w:tcBorders>
              <w:top w:val="nil"/>
              <w:left w:val="nil"/>
              <w:bottom w:val="nil"/>
              <w:right w:val="nil"/>
            </w:tcBorders>
            <w:shd w:val="clear" w:color="auto" w:fill="auto"/>
            <w:vAlign w:val="bottom"/>
          </w:tcPr>
          <w:p w14:paraId="3BAEF669" w14:textId="77777777" w:rsidR="009177AB" w:rsidRDefault="009177AB" w:rsidP="00F866EA">
            <w:pPr>
              <w:spacing w:after="0" w:line="240" w:lineRule="auto"/>
              <w:rPr>
                <w:color w:val="000000"/>
              </w:rPr>
            </w:pPr>
            <w:r>
              <w:rPr>
                <w:color w:val="000000"/>
              </w:rPr>
              <w:t>74</w:t>
            </w:r>
          </w:p>
        </w:tc>
        <w:tc>
          <w:tcPr>
            <w:tcW w:w="1302" w:type="dxa"/>
            <w:tcBorders>
              <w:top w:val="nil"/>
              <w:left w:val="nil"/>
              <w:bottom w:val="nil"/>
              <w:right w:val="nil"/>
            </w:tcBorders>
            <w:shd w:val="clear" w:color="auto" w:fill="auto"/>
            <w:vAlign w:val="bottom"/>
          </w:tcPr>
          <w:p w14:paraId="422FEDD7" w14:textId="77777777" w:rsidR="009177AB" w:rsidRDefault="009177AB" w:rsidP="00F866EA">
            <w:pPr>
              <w:spacing w:after="0" w:line="240" w:lineRule="auto"/>
              <w:rPr>
                <w:color w:val="000000"/>
              </w:rPr>
            </w:pPr>
            <w:r>
              <w:rPr>
                <w:color w:val="000000"/>
              </w:rPr>
              <w:t>24.36</w:t>
            </w:r>
          </w:p>
        </w:tc>
      </w:tr>
      <w:tr w:rsidR="009177AB" w14:paraId="516DDB38" w14:textId="77777777" w:rsidTr="00F866EA">
        <w:trPr>
          <w:trHeight w:val="280"/>
        </w:trPr>
        <w:tc>
          <w:tcPr>
            <w:tcW w:w="2028" w:type="dxa"/>
            <w:tcBorders>
              <w:top w:val="nil"/>
              <w:left w:val="nil"/>
              <w:bottom w:val="nil"/>
              <w:right w:val="nil"/>
            </w:tcBorders>
            <w:shd w:val="clear" w:color="auto" w:fill="auto"/>
            <w:vAlign w:val="bottom"/>
          </w:tcPr>
          <w:p w14:paraId="57123EB3" w14:textId="77777777" w:rsidR="009177AB" w:rsidRDefault="009177AB" w:rsidP="00F866EA">
            <w:pPr>
              <w:spacing w:after="0" w:line="240" w:lineRule="auto"/>
              <w:jc w:val="left"/>
              <w:rPr>
                <w:color w:val="000000"/>
              </w:rPr>
            </w:pPr>
            <w:r>
              <w:rPr>
                <w:color w:val="000000"/>
              </w:rPr>
              <w:t>Greece</w:t>
            </w:r>
          </w:p>
        </w:tc>
        <w:tc>
          <w:tcPr>
            <w:tcW w:w="1828" w:type="dxa"/>
            <w:tcBorders>
              <w:top w:val="nil"/>
              <w:left w:val="nil"/>
              <w:bottom w:val="nil"/>
              <w:right w:val="nil"/>
            </w:tcBorders>
            <w:shd w:val="clear" w:color="auto" w:fill="auto"/>
            <w:vAlign w:val="bottom"/>
          </w:tcPr>
          <w:p w14:paraId="71FC2EE4"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729FE72C" w14:textId="77777777" w:rsidR="009177AB" w:rsidRDefault="009177AB" w:rsidP="00F866EA">
            <w:pPr>
              <w:spacing w:after="0" w:line="240" w:lineRule="auto"/>
              <w:rPr>
                <w:color w:val="000000"/>
              </w:rPr>
            </w:pPr>
            <w:r>
              <w:rPr>
                <w:color w:val="000000"/>
              </w:rPr>
              <w:t>225</w:t>
            </w:r>
          </w:p>
        </w:tc>
        <w:tc>
          <w:tcPr>
            <w:tcW w:w="1252" w:type="dxa"/>
            <w:tcBorders>
              <w:top w:val="nil"/>
              <w:left w:val="nil"/>
              <w:bottom w:val="nil"/>
              <w:right w:val="nil"/>
            </w:tcBorders>
            <w:shd w:val="clear" w:color="auto" w:fill="auto"/>
            <w:vAlign w:val="bottom"/>
          </w:tcPr>
          <w:p w14:paraId="7B74770C" w14:textId="77777777" w:rsidR="009177AB" w:rsidRDefault="009177AB" w:rsidP="00F866EA">
            <w:pPr>
              <w:spacing w:after="0" w:line="240" w:lineRule="auto"/>
              <w:rPr>
                <w:color w:val="000000"/>
              </w:rPr>
            </w:pPr>
            <w:r>
              <w:rPr>
                <w:color w:val="000000"/>
              </w:rPr>
              <w:t>80</w:t>
            </w:r>
          </w:p>
        </w:tc>
        <w:tc>
          <w:tcPr>
            <w:tcW w:w="1302" w:type="dxa"/>
            <w:tcBorders>
              <w:top w:val="nil"/>
              <w:left w:val="nil"/>
              <w:bottom w:val="nil"/>
              <w:right w:val="nil"/>
            </w:tcBorders>
            <w:shd w:val="clear" w:color="auto" w:fill="auto"/>
            <w:vAlign w:val="bottom"/>
          </w:tcPr>
          <w:p w14:paraId="3E07EF23" w14:textId="77777777" w:rsidR="009177AB" w:rsidRDefault="009177AB" w:rsidP="00F866EA">
            <w:pPr>
              <w:spacing w:after="0" w:line="240" w:lineRule="auto"/>
              <w:rPr>
                <w:color w:val="000000"/>
              </w:rPr>
            </w:pPr>
            <w:r>
              <w:rPr>
                <w:color w:val="000000"/>
              </w:rPr>
              <w:t>22.57</w:t>
            </w:r>
          </w:p>
        </w:tc>
      </w:tr>
      <w:tr w:rsidR="009177AB" w14:paraId="2B5917A5" w14:textId="77777777" w:rsidTr="00F866EA">
        <w:trPr>
          <w:trHeight w:val="280"/>
        </w:trPr>
        <w:tc>
          <w:tcPr>
            <w:tcW w:w="2028" w:type="dxa"/>
            <w:tcBorders>
              <w:top w:val="nil"/>
              <w:left w:val="nil"/>
              <w:bottom w:val="nil"/>
              <w:right w:val="nil"/>
            </w:tcBorders>
            <w:shd w:val="clear" w:color="auto" w:fill="auto"/>
            <w:vAlign w:val="bottom"/>
          </w:tcPr>
          <w:p w14:paraId="7E7FD473" w14:textId="77777777" w:rsidR="009177AB" w:rsidRDefault="009177AB" w:rsidP="00F866EA">
            <w:pPr>
              <w:spacing w:after="0" w:line="240" w:lineRule="auto"/>
              <w:jc w:val="left"/>
              <w:rPr>
                <w:color w:val="000000"/>
              </w:rPr>
            </w:pPr>
            <w:r>
              <w:rPr>
                <w:color w:val="000000"/>
              </w:rPr>
              <w:t>Hong Kong</w:t>
            </w:r>
          </w:p>
        </w:tc>
        <w:tc>
          <w:tcPr>
            <w:tcW w:w="1828" w:type="dxa"/>
            <w:tcBorders>
              <w:top w:val="nil"/>
              <w:left w:val="nil"/>
              <w:bottom w:val="nil"/>
              <w:right w:val="nil"/>
            </w:tcBorders>
            <w:shd w:val="clear" w:color="auto" w:fill="auto"/>
            <w:vAlign w:val="bottom"/>
          </w:tcPr>
          <w:p w14:paraId="09062935" w14:textId="77777777" w:rsidR="009177AB" w:rsidRDefault="009177AB" w:rsidP="00F866EA">
            <w:pPr>
              <w:spacing w:after="0" w:line="240" w:lineRule="auto"/>
              <w:jc w:val="left"/>
              <w:rPr>
                <w:color w:val="000000"/>
              </w:rPr>
            </w:pPr>
            <w:r>
              <w:rPr>
                <w:color w:val="000000"/>
              </w:rPr>
              <w:t>East Asia</w:t>
            </w:r>
          </w:p>
        </w:tc>
        <w:tc>
          <w:tcPr>
            <w:tcW w:w="1202" w:type="dxa"/>
            <w:tcBorders>
              <w:top w:val="nil"/>
              <w:left w:val="nil"/>
              <w:bottom w:val="nil"/>
              <w:right w:val="nil"/>
            </w:tcBorders>
            <w:shd w:val="clear" w:color="auto" w:fill="auto"/>
            <w:vAlign w:val="bottom"/>
          </w:tcPr>
          <w:p w14:paraId="4C67793F" w14:textId="77777777" w:rsidR="009177AB" w:rsidRDefault="009177AB" w:rsidP="00F866EA">
            <w:pPr>
              <w:spacing w:after="0" w:line="240" w:lineRule="auto"/>
              <w:rPr>
                <w:color w:val="000000"/>
              </w:rPr>
            </w:pPr>
            <w:r>
              <w:rPr>
                <w:color w:val="000000"/>
              </w:rPr>
              <w:t>144</w:t>
            </w:r>
          </w:p>
        </w:tc>
        <w:tc>
          <w:tcPr>
            <w:tcW w:w="1252" w:type="dxa"/>
            <w:tcBorders>
              <w:top w:val="nil"/>
              <w:left w:val="nil"/>
              <w:bottom w:val="nil"/>
              <w:right w:val="nil"/>
            </w:tcBorders>
            <w:shd w:val="clear" w:color="auto" w:fill="auto"/>
            <w:vAlign w:val="bottom"/>
          </w:tcPr>
          <w:p w14:paraId="38A3390F" w14:textId="77777777" w:rsidR="009177AB" w:rsidRDefault="009177AB" w:rsidP="00F866EA">
            <w:pPr>
              <w:spacing w:after="0" w:line="240" w:lineRule="auto"/>
              <w:rPr>
                <w:color w:val="000000"/>
              </w:rPr>
            </w:pPr>
            <w:r>
              <w:rPr>
                <w:color w:val="000000"/>
              </w:rPr>
              <w:t>58</w:t>
            </w:r>
          </w:p>
        </w:tc>
        <w:tc>
          <w:tcPr>
            <w:tcW w:w="1302" w:type="dxa"/>
            <w:tcBorders>
              <w:top w:val="nil"/>
              <w:left w:val="nil"/>
              <w:bottom w:val="nil"/>
              <w:right w:val="nil"/>
            </w:tcBorders>
            <w:shd w:val="clear" w:color="auto" w:fill="auto"/>
            <w:vAlign w:val="bottom"/>
          </w:tcPr>
          <w:p w14:paraId="68D0BFC0" w14:textId="77777777" w:rsidR="009177AB" w:rsidRDefault="009177AB" w:rsidP="00F866EA">
            <w:pPr>
              <w:spacing w:after="0" w:line="240" w:lineRule="auto"/>
              <w:rPr>
                <w:color w:val="000000"/>
              </w:rPr>
            </w:pPr>
            <w:r>
              <w:rPr>
                <w:color w:val="000000"/>
              </w:rPr>
              <w:t>18.99</w:t>
            </w:r>
          </w:p>
        </w:tc>
      </w:tr>
      <w:tr w:rsidR="009177AB" w14:paraId="034B5CB2" w14:textId="77777777" w:rsidTr="00F866EA">
        <w:trPr>
          <w:trHeight w:val="280"/>
        </w:trPr>
        <w:tc>
          <w:tcPr>
            <w:tcW w:w="2028" w:type="dxa"/>
            <w:tcBorders>
              <w:top w:val="nil"/>
              <w:left w:val="nil"/>
              <w:bottom w:val="nil"/>
              <w:right w:val="nil"/>
            </w:tcBorders>
            <w:shd w:val="clear" w:color="auto" w:fill="auto"/>
            <w:vAlign w:val="bottom"/>
          </w:tcPr>
          <w:p w14:paraId="13ECE831" w14:textId="77777777" w:rsidR="009177AB" w:rsidRDefault="009177AB" w:rsidP="00F866EA">
            <w:pPr>
              <w:spacing w:after="0" w:line="240" w:lineRule="auto"/>
              <w:jc w:val="left"/>
              <w:rPr>
                <w:color w:val="000000"/>
              </w:rPr>
            </w:pPr>
            <w:r>
              <w:rPr>
                <w:color w:val="000000"/>
              </w:rPr>
              <w:t>Hungary</w:t>
            </w:r>
          </w:p>
        </w:tc>
        <w:tc>
          <w:tcPr>
            <w:tcW w:w="1828" w:type="dxa"/>
            <w:tcBorders>
              <w:top w:val="nil"/>
              <w:left w:val="nil"/>
              <w:bottom w:val="nil"/>
              <w:right w:val="nil"/>
            </w:tcBorders>
            <w:shd w:val="clear" w:color="auto" w:fill="auto"/>
            <w:vAlign w:val="bottom"/>
          </w:tcPr>
          <w:p w14:paraId="02944BB6"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0E294988" w14:textId="77777777" w:rsidR="009177AB" w:rsidRDefault="009177AB" w:rsidP="00F866EA">
            <w:pPr>
              <w:spacing w:after="0" w:line="240" w:lineRule="auto"/>
              <w:rPr>
                <w:color w:val="000000"/>
              </w:rPr>
            </w:pPr>
            <w:r>
              <w:rPr>
                <w:color w:val="000000"/>
              </w:rPr>
              <w:t>178</w:t>
            </w:r>
          </w:p>
        </w:tc>
        <w:tc>
          <w:tcPr>
            <w:tcW w:w="1252" w:type="dxa"/>
            <w:tcBorders>
              <w:top w:val="nil"/>
              <w:left w:val="nil"/>
              <w:bottom w:val="nil"/>
              <w:right w:val="nil"/>
            </w:tcBorders>
            <w:shd w:val="clear" w:color="auto" w:fill="auto"/>
            <w:vAlign w:val="bottom"/>
          </w:tcPr>
          <w:p w14:paraId="60F693AA" w14:textId="77777777" w:rsidR="009177AB" w:rsidRDefault="009177AB" w:rsidP="00F866EA">
            <w:pPr>
              <w:spacing w:after="0" w:line="240" w:lineRule="auto"/>
              <w:rPr>
                <w:color w:val="000000"/>
              </w:rPr>
            </w:pPr>
            <w:r>
              <w:rPr>
                <w:color w:val="000000"/>
              </w:rPr>
              <w:t>60</w:t>
            </w:r>
          </w:p>
        </w:tc>
        <w:tc>
          <w:tcPr>
            <w:tcW w:w="1302" w:type="dxa"/>
            <w:tcBorders>
              <w:top w:val="nil"/>
              <w:left w:val="nil"/>
              <w:bottom w:val="nil"/>
              <w:right w:val="nil"/>
            </w:tcBorders>
            <w:shd w:val="clear" w:color="auto" w:fill="auto"/>
            <w:vAlign w:val="bottom"/>
          </w:tcPr>
          <w:p w14:paraId="6E8BC682" w14:textId="77777777" w:rsidR="009177AB" w:rsidRDefault="009177AB" w:rsidP="00F866EA">
            <w:pPr>
              <w:spacing w:after="0" w:line="240" w:lineRule="auto"/>
              <w:rPr>
                <w:color w:val="000000"/>
              </w:rPr>
            </w:pPr>
            <w:r>
              <w:rPr>
                <w:color w:val="000000"/>
              </w:rPr>
              <w:t>21.76</w:t>
            </w:r>
          </w:p>
        </w:tc>
      </w:tr>
      <w:tr w:rsidR="009177AB" w14:paraId="366EDB2A" w14:textId="77777777" w:rsidTr="00F866EA">
        <w:trPr>
          <w:trHeight w:val="280"/>
        </w:trPr>
        <w:tc>
          <w:tcPr>
            <w:tcW w:w="2028" w:type="dxa"/>
            <w:tcBorders>
              <w:top w:val="nil"/>
              <w:left w:val="nil"/>
              <w:bottom w:val="nil"/>
              <w:right w:val="nil"/>
            </w:tcBorders>
            <w:shd w:val="clear" w:color="auto" w:fill="auto"/>
            <w:vAlign w:val="bottom"/>
          </w:tcPr>
          <w:p w14:paraId="7D2FC8B1" w14:textId="77777777" w:rsidR="009177AB" w:rsidRDefault="009177AB" w:rsidP="00F866EA">
            <w:pPr>
              <w:spacing w:after="0" w:line="240" w:lineRule="auto"/>
              <w:jc w:val="left"/>
              <w:rPr>
                <w:color w:val="000000"/>
              </w:rPr>
            </w:pPr>
            <w:r>
              <w:rPr>
                <w:color w:val="000000"/>
              </w:rPr>
              <w:t>India</w:t>
            </w:r>
          </w:p>
        </w:tc>
        <w:tc>
          <w:tcPr>
            <w:tcW w:w="1828" w:type="dxa"/>
            <w:tcBorders>
              <w:top w:val="nil"/>
              <w:left w:val="nil"/>
              <w:bottom w:val="nil"/>
              <w:right w:val="nil"/>
            </w:tcBorders>
            <w:shd w:val="clear" w:color="auto" w:fill="auto"/>
            <w:vAlign w:val="bottom"/>
          </w:tcPr>
          <w:p w14:paraId="2D3318B4"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nil"/>
              <w:right w:val="nil"/>
            </w:tcBorders>
            <w:shd w:val="clear" w:color="auto" w:fill="auto"/>
            <w:vAlign w:val="bottom"/>
          </w:tcPr>
          <w:p w14:paraId="1C477940" w14:textId="77777777" w:rsidR="009177AB" w:rsidRDefault="009177AB" w:rsidP="00F866EA">
            <w:pPr>
              <w:spacing w:after="0" w:line="240" w:lineRule="auto"/>
              <w:rPr>
                <w:color w:val="000000"/>
              </w:rPr>
            </w:pPr>
            <w:r>
              <w:rPr>
                <w:color w:val="000000"/>
              </w:rPr>
              <w:t>221</w:t>
            </w:r>
          </w:p>
        </w:tc>
        <w:tc>
          <w:tcPr>
            <w:tcW w:w="1252" w:type="dxa"/>
            <w:tcBorders>
              <w:top w:val="nil"/>
              <w:left w:val="nil"/>
              <w:bottom w:val="nil"/>
              <w:right w:val="nil"/>
            </w:tcBorders>
            <w:shd w:val="clear" w:color="auto" w:fill="auto"/>
            <w:vAlign w:val="bottom"/>
          </w:tcPr>
          <w:p w14:paraId="7D034724" w14:textId="77777777" w:rsidR="009177AB" w:rsidRDefault="009177AB" w:rsidP="00F866EA">
            <w:pPr>
              <w:spacing w:after="0" w:line="240" w:lineRule="auto"/>
              <w:rPr>
                <w:color w:val="000000"/>
              </w:rPr>
            </w:pPr>
            <w:r>
              <w:rPr>
                <w:color w:val="000000"/>
              </w:rPr>
              <w:t>50</w:t>
            </w:r>
          </w:p>
        </w:tc>
        <w:tc>
          <w:tcPr>
            <w:tcW w:w="1302" w:type="dxa"/>
            <w:tcBorders>
              <w:top w:val="nil"/>
              <w:left w:val="nil"/>
              <w:bottom w:val="nil"/>
              <w:right w:val="nil"/>
            </w:tcBorders>
            <w:shd w:val="clear" w:color="auto" w:fill="auto"/>
            <w:vAlign w:val="bottom"/>
          </w:tcPr>
          <w:p w14:paraId="01CD2771" w14:textId="77777777" w:rsidR="009177AB" w:rsidRDefault="009177AB" w:rsidP="00F866EA">
            <w:pPr>
              <w:spacing w:after="0" w:line="240" w:lineRule="auto"/>
              <w:rPr>
                <w:color w:val="000000"/>
              </w:rPr>
            </w:pPr>
            <w:r>
              <w:rPr>
                <w:color w:val="000000"/>
              </w:rPr>
              <w:t>22.38</w:t>
            </w:r>
          </w:p>
        </w:tc>
      </w:tr>
      <w:tr w:rsidR="009177AB" w14:paraId="5268ACD2" w14:textId="77777777" w:rsidTr="00F866EA">
        <w:trPr>
          <w:trHeight w:val="280"/>
        </w:trPr>
        <w:tc>
          <w:tcPr>
            <w:tcW w:w="2028" w:type="dxa"/>
            <w:tcBorders>
              <w:top w:val="nil"/>
              <w:left w:val="nil"/>
              <w:bottom w:val="nil"/>
              <w:right w:val="nil"/>
            </w:tcBorders>
            <w:shd w:val="clear" w:color="auto" w:fill="auto"/>
            <w:vAlign w:val="bottom"/>
          </w:tcPr>
          <w:p w14:paraId="55DAAE2E" w14:textId="77777777" w:rsidR="009177AB" w:rsidRDefault="009177AB" w:rsidP="00F866EA">
            <w:pPr>
              <w:spacing w:after="0" w:line="240" w:lineRule="auto"/>
              <w:jc w:val="left"/>
              <w:rPr>
                <w:color w:val="000000"/>
              </w:rPr>
            </w:pPr>
            <w:r>
              <w:rPr>
                <w:color w:val="000000"/>
              </w:rPr>
              <w:t>Indonesia</w:t>
            </w:r>
          </w:p>
        </w:tc>
        <w:tc>
          <w:tcPr>
            <w:tcW w:w="1828" w:type="dxa"/>
            <w:tcBorders>
              <w:top w:val="nil"/>
              <w:left w:val="nil"/>
              <w:bottom w:val="nil"/>
              <w:right w:val="nil"/>
            </w:tcBorders>
            <w:shd w:val="clear" w:color="auto" w:fill="auto"/>
            <w:vAlign w:val="bottom"/>
          </w:tcPr>
          <w:p w14:paraId="4158F5F9"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nil"/>
              <w:right w:val="nil"/>
            </w:tcBorders>
            <w:shd w:val="clear" w:color="auto" w:fill="auto"/>
            <w:vAlign w:val="bottom"/>
          </w:tcPr>
          <w:p w14:paraId="0CE13471" w14:textId="77777777" w:rsidR="009177AB" w:rsidRDefault="009177AB" w:rsidP="00F866EA">
            <w:pPr>
              <w:spacing w:after="0" w:line="240" w:lineRule="auto"/>
              <w:rPr>
                <w:color w:val="000000"/>
              </w:rPr>
            </w:pPr>
            <w:r>
              <w:rPr>
                <w:color w:val="000000"/>
              </w:rPr>
              <w:t>131</w:t>
            </w:r>
          </w:p>
        </w:tc>
        <w:tc>
          <w:tcPr>
            <w:tcW w:w="1252" w:type="dxa"/>
            <w:tcBorders>
              <w:top w:val="nil"/>
              <w:left w:val="nil"/>
              <w:bottom w:val="nil"/>
              <w:right w:val="nil"/>
            </w:tcBorders>
            <w:shd w:val="clear" w:color="auto" w:fill="auto"/>
            <w:vAlign w:val="bottom"/>
          </w:tcPr>
          <w:p w14:paraId="36A58481" w14:textId="77777777" w:rsidR="009177AB" w:rsidRDefault="009177AB" w:rsidP="00F866EA">
            <w:pPr>
              <w:spacing w:after="0" w:line="240" w:lineRule="auto"/>
              <w:rPr>
                <w:color w:val="000000"/>
              </w:rPr>
            </w:pPr>
            <w:r>
              <w:rPr>
                <w:color w:val="000000"/>
              </w:rPr>
              <w:t>52</w:t>
            </w:r>
          </w:p>
        </w:tc>
        <w:tc>
          <w:tcPr>
            <w:tcW w:w="1302" w:type="dxa"/>
            <w:tcBorders>
              <w:top w:val="nil"/>
              <w:left w:val="nil"/>
              <w:bottom w:val="nil"/>
              <w:right w:val="nil"/>
            </w:tcBorders>
            <w:shd w:val="clear" w:color="auto" w:fill="auto"/>
            <w:vAlign w:val="bottom"/>
          </w:tcPr>
          <w:p w14:paraId="06D91E36" w14:textId="77777777" w:rsidR="009177AB" w:rsidRDefault="009177AB" w:rsidP="00F866EA">
            <w:pPr>
              <w:spacing w:after="0" w:line="240" w:lineRule="auto"/>
              <w:rPr>
                <w:color w:val="000000"/>
              </w:rPr>
            </w:pPr>
            <w:r>
              <w:rPr>
                <w:color w:val="000000"/>
              </w:rPr>
              <w:t>21.83</w:t>
            </w:r>
          </w:p>
        </w:tc>
      </w:tr>
      <w:tr w:rsidR="009177AB" w14:paraId="01C90ADD" w14:textId="77777777" w:rsidTr="00F866EA">
        <w:trPr>
          <w:trHeight w:val="280"/>
        </w:trPr>
        <w:tc>
          <w:tcPr>
            <w:tcW w:w="2028" w:type="dxa"/>
            <w:tcBorders>
              <w:top w:val="nil"/>
              <w:left w:val="nil"/>
              <w:bottom w:val="nil"/>
              <w:right w:val="nil"/>
            </w:tcBorders>
            <w:shd w:val="clear" w:color="auto" w:fill="auto"/>
            <w:vAlign w:val="bottom"/>
          </w:tcPr>
          <w:p w14:paraId="14BADEC4" w14:textId="77777777" w:rsidR="009177AB" w:rsidRDefault="009177AB" w:rsidP="00F866EA">
            <w:pPr>
              <w:spacing w:after="0" w:line="240" w:lineRule="auto"/>
              <w:jc w:val="left"/>
              <w:rPr>
                <w:color w:val="000000"/>
              </w:rPr>
            </w:pPr>
            <w:r>
              <w:rPr>
                <w:color w:val="000000"/>
              </w:rPr>
              <w:t>Israel</w:t>
            </w:r>
          </w:p>
        </w:tc>
        <w:tc>
          <w:tcPr>
            <w:tcW w:w="1828" w:type="dxa"/>
            <w:tcBorders>
              <w:top w:val="nil"/>
              <w:left w:val="nil"/>
              <w:bottom w:val="nil"/>
              <w:right w:val="nil"/>
            </w:tcBorders>
            <w:shd w:val="clear" w:color="auto" w:fill="auto"/>
            <w:vAlign w:val="bottom"/>
          </w:tcPr>
          <w:p w14:paraId="6000BCF3" w14:textId="77777777" w:rsidR="009177AB" w:rsidRDefault="009177AB" w:rsidP="00F866EA">
            <w:pPr>
              <w:spacing w:after="0" w:line="240" w:lineRule="auto"/>
              <w:jc w:val="left"/>
              <w:rPr>
                <w:color w:val="000000"/>
              </w:rPr>
            </w:pPr>
            <w:r>
              <w:rPr>
                <w:color w:val="000000"/>
              </w:rPr>
              <w:t>Middle East</w:t>
            </w:r>
          </w:p>
        </w:tc>
        <w:tc>
          <w:tcPr>
            <w:tcW w:w="1202" w:type="dxa"/>
            <w:tcBorders>
              <w:top w:val="nil"/>
              <w:left w:val="nil"/>
              <w:bottom w:val="nil"/>
              <w:right w:val="nil"/>
            </w:tcBorders>
            <w:shd w:val="clear" w:color="auto" w:fill="auto"/>
            <w:vAlign w:val="bottom"/>
          </w:tcPr>
          <w:p w14:paraId="175D9584" w14:textId="77777777" w:rsidR="009177AB" w:rsidRDefault="009177AB" w:rsidP="00F866EA">
            <w:pPr>
              <w:spacing w:after="0" w:line="240" w:lineRule="auto"/>
              <w:rPr>
                <w:color w:val="000000"/>
              </w:rPr>
            </w:pPr>
            <w:r>
              <w:rPr>
                <w:color w:val="000000"/>
              </w:rPr>
              <w:t>173</w:t>
            </w:r>
          </w:p>
        </w:tc>
        <w:tc>
          <w:tcPr>
            <w:tcW w:w="1252" w:type="dxa"/>
            <w:tcBorders>
              <w:top w:val="nil"/>
              <w:left w:val="nil"/>
              <w:bottom w:val="nil"/>
              <w:right w:val="nil"/>
            </w:tcBorders>
            <w:shd w:val="clear" w:color="auto" w:fill="auto"/>
            <w:vAlign w:val="bottom"/>
          </w:tcPr>
          <w:p w14:paraId="7C3D9741" w14:textId="77777777" w:rsidR="009177AB" w:rsidRDefault="009177AB" w:rsidP="00F866EA">
            <w:pPr>
              <w:spacing w:after="0" w:line="240" w:lineRule="auto"/>
              <w:rPr>
                <w:color w:val="000000"/>
              </w:rPr>
            </w:pPr>
            <w:r>
              <w:rPr>
                <w:color w:val="000000"/>
              </w:rPr>
              <w:t>61</w:t>
            </w:r>
          </w:p>
        </w:tc>
        <w:tc>
          <w:tcPr>
            <w:tcW w:w="1302" w:type="dxa"/>
            <w:tcBorders>
              <w:top w:val="nil"/>
              <w:left w:val="nil"/>
              <w:bottom w:val="nil"/>
              <w:right w:val="nil"/>
            </w:tcBorders>
            <w:shd w:val="clear" w:color="auto" w:fill="auto"/>
            <w:vAlign w:val="bottom"/>
          </w:tcPr>
          <w:p w14:paraId="61E0A28E" w14:textId="77777777" w:rsidR="009177AB" w:rsidRDefault="009177AB" w:rsidP="00F866EA">
            <w:pPr>
              <w:spacing w:after="0" w:line="240" w:lineRule="auto"/>
              <w:rPr>
                <w:color w:val="000000"/>
              </w:rPr>
            </w:pPr>
            <w:r>
              <w:rPr>
                <w:color w:val="000000"/>
              </w:rPr>
              <w:t>25.42</w:t>
            </w:r>
          </w:p>
        </w:tc>
      </w:tr>
      <w:tr w:rsidR="009177AB" w14:paraId="1F93F3F6" w14:textId="77777777" w:rsidTr="00F866EA">
        <w:trPr>
          <w:trHeight w:val="280"/>
        </w:trPr>
        <w:tc>
          <w:tcPr>
            <w:tcW w:w="2028" w:type="dxa"/>
            <w:tcBorders>
              <w:top w:val="nil"/>
              <w:left w:val="nil"/>
              <w:bottom w:val="nil"/>
              <w:right w:val="nil"/>
            </w:tcBorders>
            <w:shd w:val="clear" w:color="auto" w:fill="auto"/>
            <w:vAlign w:val="bottom"/>
          </w:tcPr>
          <w:p w14:paraId="18B27BA2" w14:textId="77777777" w:rsidR="009177AB" w:rsidRDefault="009177AB" w:rsidP="00F866EA">
            <w:pPr>
              <w:spacing w:after="0" w:line="240" w:lineRule="auto"/>
              <w:jc w:val="left"/>
              <w:rPr>
                <w:color w:val="000000"/>
              </w:rPr>
            </w:pPr>
            <w:r>
              <w:rPr>
                <w:color w:val="000000"/>
              </w:rPr>
              <w:t>Italy</w:t>
            </w:r>
          </w:p>
        </w:tc>
        <w:tc>
          <w:tcPr>
            <w:tcW w:w="1828" w:type="dxa"/>
            <w:tcBorders>
              <w:top w:val="nil"/>
              <w:left w:val="nil"/>
              <w:bottom w:val="nil"/>
              <w:right w:val="nil"/>
            </w:tcBorders>
            <w:shd w:val="clear" w:color="auto" w:fill="auto"/>
            <w:vAlign w:val="bottom"/>
          </w:tcPr>
          <w:p w14:paraId="123DA3F0"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61C6ED80" w14:textId="77777777" w:rsidR="009177AB" w:rsidRDefault="009177AB" w:rsidP="00F866EA">
            <w:pPr>
              <w:spacing w:after="0" w:line="240" w:lineRule="auto"/>
              <w:rPr>
                <w:color w:val="000000"/>
              </w:rPr>
            </w:pPr>
            <w:r>
              <w:rPr>
                <w:color w:val="000000"/>
              </w:rPr>
              <w:t>717</w:t>
            </w:r>
          </w:p>
        </w:tc>
        <w:tc>
          <w:tcPr>
            <w:tcW w:w="1252" w:type="dxa"/>
            <w:tcBorders>
              <w:top w:val="nil"/>
              <w:left w:val="nil"/>
              <w:bottom w:val="nil"/>
              <w:right w:val="nil"/>
            </w:tcBorders>
            <w:shd w:val="clear" w:color="auto" w:fill="auto"/>
            <w:vAlign w:val="bottom"/>
          </w:tcPr>
          <w:p w14:paraId="279233FF" w14:textId="77777777" w:rsidR="009177AB" w:rsidRDefault="009177AB" w:rsidP="00F866EA">
            <w:pPr>
              <w:spacing w:after="0" w:line="240" w:lineRule="auto"/>
              <w:rPr>
                <w:color w:val="000000"/>
              </w:rPr>
            </w:pPr>
            <w:r>
              <w:rPr>
                <w:color w:val="000000"/>
              </w:rPr>
              <w:t>65</w:t>
            </w:r>
          </w:p>
        </w:tc>
        <w:tc>
          <w:tcPr>
            <w:tcW w:w="1302" w:type="dxa"/>
            <w:tcBorders>
              <w:top w:val="nil"/>
              <w:left w:val="nil"/>
              <w:bottom w:val="nil"/>
              <w:right w:val="nil"/>
            </w:tcBorders>
            <w:shd w:val="clear" w:color="auto" w:fill="auto"/>
            <w:vAlign w:val="bottom"/>
          </w:tcPr>
          <w:p w14:paraId="2EE19814" w14:textId="77777777" w:rsidR="009177AB" w:rsidRDefault="009177AB" w:rsidP="00F866EA">
            <w:pPr>
              <w:spacing w:after="0" w:line="240" w:lineRule="auto"/>
              <w:rPr>
                <w:color w:val="000000"/>
              </w:rPr>
            </w:pPr>
            <w:r>
              <w:rPr>
                <w:color w:val="000000"/>
              </w:rPr>
              <w:t>21.86</w:t>
            </w:r>
          </w:p>
        </w:tc>
      </w:tr>
      <w:tr w:rsidR="009177AB" w14:paraId="6FB3678A" w14:textId="77777777" w:rsidTr="00F866EA">
        <w:trPr>
          <w:trHeight w:val="280"/>
        </w:trPr>
        <w:tc>
          <w:tcPr>
            <w:tcW w:w="2028" w:type="dxa"/>
            <w:tcBorders>
              <w:top w:val="nil"/>
              <w:left w:val="nil"/>
              <w:bottom w:val="nil"/>
              <w:right w:val="nil"/>
            </w:tcBorders>
            <w:shd w:val="clear" w:color="auto" w:fill="auto"/>
            <w:vAlign w:val="bottom"/>
          </w:tcPr>
          <w:p w14:paraId="0A02DCCB" w14:textId="77777777" w:rsidR="009177AB" w:rsidRDefault="009177AB" w:rsidP="00F866EA">
            <w:pPr>
              <w:spacing w:after="0" w:line="240" w:lineRule="auto"/>
              <w:jc w:val="left"/>
              <w:rPr>
                <w:color w:val="000000"/>
              </w:rPr>
            </w:pPr>
            <w:r>
              <w:rPr>
                <w:color w:val="000000"/>
              </w:rPr>
              <w:t>Japan</w:t>
            </w:r>
          </w:p>
        </w:tc>
        <w:tc>
          <w:tcPr>
            <w:tcW w:w="1828" w:type="dxa"/>
            <w:tcBorders>
              <w:top w:val="nil"/>
              <w:left w:val="nil"/>
              <w:bottom w:val="nil"/>
              <w:right w:val="nil"/>
            </w:tcBorders>
            <w:shd w:val="clear" w:color="auto" w:fill="auto"/>
            <w:vAlign w:val="bottom"/>
          </w:tcPr>
          <w:p w14:paraId="2ADD029B" w14:textId="77777777" w:rsidR="009177AB" w:rsidRDefault="009177AB" w:rsidP="00F866EA">
            <w:pPr>
              <w:spacing w:after="0" w:line="240" w:lineRule="auto"/>
              <w:jc w:val="left"/>
              <w:rPr>
                <w:color w:val="000000"/>
              </w:rPr>
            </w:pPr>
            <w:r>
              <w:rPr>
                <w:color w:val="000000"/>
              </w:rPr>
              <w:t>East Asia</w:t>
            </w:r>
          </w:p>
        </w:tc>
        <w:tc>
          <w:tcPr>
            <w:tcW w:w="1202" w:type="dxa"/>
            <w:tcBorders>
              <w:top w:val="nil"/>
              <w:left w:val="nil"/>
              <w:bottom w:val="nil"/>
              <w:right w:val="nil"/>
            </w:tcBorders>
            <w:shd w:val="clear" w:color="auto" w:fill="auto"/>
            <w:vAlign w:val="bottom"/>
          </w:tcPr>
          <w:p w14:paraId="7BB9CA3F" w14:textId="77777777" w:rsidR="009177AB" w:rsidRDefault="009177AB" w:rsidP="00F866EA">
            <w:pPr>
              <w:spacing w:after="0" w:line="240" w:lineRule="auto"/>
              <w:rPr>
                <w:color w:val="000000"/>
              </w:rPr>
            </w:pPr>
            <w:r>
              <w:rPr>
                <w:color w:val="000000"/>
              </w:rPr>
              <w:t>243</w:t>
            </w:r>
          </w:p>
        </w:tc>
        <w:tc>
          <w:tcPr>
            <w:tcW w:w="1252" w:type="dxa"/>
            <w:tcBorders>
              <w:top w:val="nil"/>
              <w:left w:val="nil"/>
              <w:bottom w:val="nil"/>
              <w:right w:val="nil"/>
            </w:tcBorders>
            <w:shd w:val="clear" w:color="auto" w:fill="auto"/>
            <w:vAlign w:val="bottom"/>
          </w:tcPr>
          <w:p w14:paraId="2190E034" w14:textId="77777777" w:rsidR="009177AB" w:rsidRDefault="009177AB" w:rsidP="00F866EA">
            <w:pPr>
              <w:spacing w:after="0" w:line="240" w:lineRule="auto"/>
              <w:rPr>
                <w:color w:val="000000"/>
              </w:rPr>
            </w:pPr>
            <w:r>
              <w:rPr>
                <w:color w:val="000000"/>
              </w:rPr>
              <w:t>62</w:t>
            </w:r>
          </w:p>
        </w:tc>
        <w:tc>
          <w:tcPr>
            <w:tcW w:w="1302" w:type="dxa"/>
            <w:tcBorders>
              <w:top w:val="nil"/>
              <w:left w:val="nil"/>
              <w:bottom w:val="nil"/>
              <w:right w:val="nil"/>
            </w:tcBorders>
            <w:shd w:val="clear" w:color="auto" w:fill="auto"/>
            <w:vAlign w:val="bottom"/>
          </w:tcPr>
          <w:p w14:paraId="4DF5F48B" w14:textId="77777777" w:rsidR="009177AB" w:rsidRDefault="009177AB" w:rsidP="00F866EA">
            <w:pPr>
              <w:spacing w:after="0" w:line="240" w:lineRule="auto"/>
              <w:rPr>
                <w:color w:val="000000"/>
              </w:rPr>
            </w:pPr>
            <w:r>
              <w:rPr>
                <w:color w:val="000000"/>
              </w:rPr>
              <w:t>22.56</w:t>
            </w:r>
          </w:p>
        </w:tc>
      </w:tr>
      <w:tr w:rsidR="009177AB" w14:paraId="2C7B35BA" w14:textId="77777777" w:rsidTr="00F866EA">
        <w:trPr>
          <w:trHeight w:val="280"/>
        </w:trPr>
        <w:tc>
          <w:tcPr>
            <w:tcW w:w="2028" w:type="dxa"/>
            <w:tcBorders>
              <w:top w:val="nil"/>
              <w:left w:val="nil"/>
              <w:bottom w:val="nil"/>
              <w:right w:val="nil"/>
            </w:tcBorders>
            <w:shd w:val="clear" w:color="auto" w:fill="auto"/>
            <w:vAlign w:val="bottom"/>
          </w:tcPr>
          <w:p w14:paraId="5097FA50" w14:textId="77777777" w:rsidR="009177AB" w:rsidRDefault="009177AB" w:rsidP="00F866EA">
            <w:pPr>
              <w:spacing w:after="0" w:line="240" w:lineRule="auto"/>
              <w:jc w:val="left"/>
              <w:rPr>
                <w:color w:val="000000"/>
              </w:rPr>
            </w:pPr>
            <w:r>
              <w:rPr>
                <w:color w:val="000000"/>
              </w:rPr>
              <w:t>Jordan</w:t>
            </w:r>
          </w:p>
        </w:tc>
        <w:tc>
          <w:tcPr>
            <w:tcW w:w="1828" w:type="dxa"/>
            <w:tcBorders>
              <w:top w:val="nil"/>
              <w:left w:val="nil"/>
              <w:bottom w:val="nil"/>
              <w:right w:val="nil"/>
            </w:tcBorders>
            <w:shd w:val="clear" w:color="auto" w:fill="auto"/>
            <w:vAlign w:val="bottom"/>
          </w:tcPr>
          <w:p w14:paraId="716ABF87" w14:textId="77777777" w:rsidR="009177AB" w:rsidRDefault="009177AB" w:rsidP="00F866EA">
            <w:pPr>
              <w:spacing w:after="0" w:line="240" w:lineRule="auto"/>
              <w:jc w:val="left"/>
              <w:rPr>
                <w:color w:val="000000"/>
              </w:rPr>
            </w:pPr>
            <w:r>
              <w:rPr>
                <w:color w:val="000000"/>
              </w:rPr>
              <w:t>Middle East</w:t>
            </w:r>
          </w:p>
        </w:tc>
        <w:tc>
          <w:tcPr>
            <w:tcW w:w="1202" w:type="dxa"/>
            <w:tcBorders>
              <w:top w:val="nil"/>
              <w:left w:val="nil"/>
              <w:bottom w:val="nil"/>
              <w:right w:val="nil"/>
            </w:tcBorders>
            <w:shd w:val="clear" w:color="auto" w:fill="auto"/>
            <w:vAlign w:val="bottom"/>
          </w:tcPr>
          <w:p w14:paraId="27429089" w14:textId="77777777" w:rsidR="009177AB" w:rsidRDefault="009177AB" w:rsidP="00F866EA">
            <w:pPr>
              <w:spacing w:after="0" w:line="240" w:lineRule="auto"/>
              <w:rPr>
                <w:color w:val="000000"/>
              </w:rPr>
            </w:pPr>
            <w:r>
              <w:rPr>
                <w:color w:val="000000"/>
              </w:rPr>
              <w:t>141</w:t>
            </w:r>
          </w:p>
        </w:tc>
        <w:tc>
          <w:tcPr>
            <w:tcW w:w="1252" w:type="dxa"/>
            <w:tcBorders>
              <w:top w:val="nil"/>
              <w:left w:val="nil"/>
              <w:bottom w:val="nil"/>
              <w:right w:val="nil"/>
            </w:tcBorders>
            <w:shd w:val="clear" w:color="auto" w:fill="auto"/>
            <w:vAlign w:val="bottom"/>
          </w:tcPr>
          <w:p w14:paraId="3FAFA03A" w14:textId="77777777" w:rsidR="009177AB" w:rsidRDefault="009177AB" w:rsidP="00F866EA">
            <w:pPr>
              <w:spacing w:after="0" w:line="240" w:lineRule="auto"/>
              <w:rPr>
                <w:color w:val="000000"/>
              </w:rPr>
            </w:pPr>
            <w:r>
              <w:rPr>
                <w:color w:val="000000"/>
              </w:rPr>
              <w:t>81</w:t>
            </w:r>
          </w:p>
        </w:tc>
        <w:tc>
          <w:tcPr>
            <w:tcW w:w="1302" w:type="dxa"/>
            <w:tcBorders>
              <w:top w:val="nil"/>
              <w:left w:val="nil"/>
              <w:bottom w:val="nil"/>
              <w:right w:val="nil"/>
            </w:tcBorders>
            <w:shd w:val="clear" w:color="auto" w:fill="auto"/>
            <w:vAlign w:val="bottom"/>
          </w:tcPr>
          <w:p w14:paraId="4FA29D59" w14:textId="77777777" w:rsidR="009177AB" w:rsidRDefault="009177AB" w:rsidP="00F866EA">
            <w:pPr>
              <w:spacing w:after="0" w:line="240" w:lineRule="auto"/>
              <w:rPr>
                <w:color w:val="000000"/>
              </w:rPr>
            </w:pPr>
            <w:r>
              <w:rPr>
                <w:color w:val="000000"/>
              </w:rPr>
              <w:t>19.87</w:t>
            </w:r>
          </w:p>
        </w:tc>
      </w:tr>
      <w:tr w:rsidR="009177AB" w14:paraId="24FDAA39" w14:textId="77777777" w:rsidTr="00F866EA">
        <w:trPr>
          <w:trHeight w:val="280"/>
        </w:trPr>
        <w:tc>
          <w:tcPr>
            <w:tcW w:w="2028" w:type="dxa"/>
            <w:tcBorders>
              <w:top w:val="nil"/>
              <w:left w:val="nil"/>
              <w:bottom w:val="nil"/>
              <w:right w:val="nil"/>
            </w:tcBorders>
            <w:shd w:val="clear" w:color="auto" w:fill="auto"/>
            <w:vAlign w:val="bottom"/>
          </w:tcPr>
          <w:p w14:paraId="0DC8E49C" w14:textId="77777777" w:rsidR="009177AB" w:rsidRDefault="009177AB" w:rsidP="00F866EA">
            <w:pPr>
              <w:spacing w:after="0" w:line="240" w:lineRule="auto"/>
              <w:jc w:val="left"/>
              <w:rPr>
                <w:color w:val="000000"/>
              </w:rPr>
            </w:pPr>
            <w:r>
              <w:rPr>
                <w:color w:val="000000"/>
              </w:rPr>
              <w:t>Kenya</w:t>
            </w:r>
          </w:p>
        </w:tc>
        <w:tc>
          <w:tcPr>
            <w:tcW w:w="1828" w:type="dxa"/>
            <w:tcBorders>
              <w:top w:val="nil"/>
              <w:left w:val="nil"/>
              <w:bottom w:val="nil"/>
              <w:right w:val="nil"/>
            </w:tcBorders>
            <w:shd w:val="clear" w:color="auto" w:fill="auto"/>
            <w:vAlign w:val="bottom"/>
          </w:tcPr>
          <w:p w14:paraId="6EF6E573" w14:textId="77777777" w:rsidR="009177AB" w:rsidRDefault="009177AB" w:rsidP="00F866EA">
            <w:pPr>
              <w:spacing w:after="0" w:line="240" w:lineRule="auto"/>
              <w:jc w:val="left"/>
              <w:rPr>
                <w:color w:val="000000"/>
              </w:rPr>
            </w:pPr>
            <w:r>
              <w:rPr>
                <w:color w:val="000000"/>
              </w:rPr>
              <w:t>Africa</w:t>
            </w:r>
          </w:p>
        </w:tc>
        <w:tc>
          <w:tcPr>
            <w:tcW w:w="1202" w:type="dxa"/>
            <w:tcBorders>
              <w:top w:val="nil"/>
              <w:left w:val="nil"/>
              <w:bottom w:val="nil"/>
              <w:right w:val="nil"/>
            </w:tcBorders>
            <w:shd w:val="clear" w:color="auto" w:fill="auto"/>
            <w:vAlign w:val="bottom"/>
          </w:tcPr>
          <w:p w14:paraId="10CD5023" w14:textId="77777777" w:rsidR="009177AB" w:rsidRDefault="009177AB" w:rsidP="00F866EA">
            <w:pPr>
              <w:spacing w:after="0" w:line="240" w:lineRule="auto"/>
              <w:rPr>
                <w:color w:val="000000"/>
              </w:rPr>
            </w:pPr>
            <w:r>
              <w:rPr>
                <w:color w:val="000000"/>
              </w:rPr>
              <w:t>139</w:t>
            </w:r>
          </w:p>
        </w:tc>
        <w:tc>
          <w:tcPr>
            <w:tcW w:w="1252" w:type="dxa"/>
            <w:tcBorders>
              <w:top w:val="nil"/>
              <w:left w:val="nil"/>
              <w:bottom w:val="nil"/>
              <w:right w:val="nil"/>
            </w:tcBorders>
            <w:shd w:val="clear" w:color="auto" w:fill="auto"/>
            <w:vAlign w:val="bottom"/>
          </w:tcPr>
          <w:p w14:paraId="2F87FCCC" w14:textId="77777777" w:rsidR="009177AB" w:rsidRDefault="009177AB" w:rsidP="00F866EA">
            <w:pPr>
              <w:spacing w:after="0" w:line="240" w:lineRule="auto"/>
              <w:rPr>
                <w:color w:val="000000"/>
              </w:rPr>
            </w:pPr>
            <w:r>
              <w:rPr>
                <w:color w:val="000000"/>
              </w:rPr>
              <w:t>65</w:t>
            </w:r>
          </w:p>
        </w:tc>
        <w:tc>
          <w:tcPr>
            <w:tcW w:w="1302" w:type="dxa"/>
            <w:tcBorders>
              <w:top w:val="nil"/>
              <w:left w:val="nil"/>
              <w:bottom w:val="nil"/>
              <w:right w:val="nil"/>
            </w:tcBorders>
            <w:shd w:val="clear" w:color="auto" w:fill="auto"/>
            <w:vAlign w:val="bottom"/>
          </w:tcPr>
          <w:p w14:paraId="0EF9ECCA" w14:textId="77777777" w:rsidR="009177AB" w:rsidRDefault="009177AB" w:rsidP="00F866EA">
            <w:pPr>
              <w:spacing w:after="0" w:line="240" w:lineRule="auto"/>
              <w:rPr>
                <w:color w:val="000000"/>
              </w:rPr>
            </w:pPr>
            <w:r>
              <w:rPr>
                <w:color w:val="000000"/>
              </w:rPr>
              <w:t>21.17</w:t>
            </w:r>
          </w:p>
        </w:tc>
      </w:tr>
      <w:tr w:rsidR="009177AB" w14:paraId="6C55DBCB" w14:textId="77777777" w:rsidTr="00F866EA">
        <w:trPr>
          <w:trHeight w:val="280"/>
        </w:trPr>
        <w:tc>
          <w:tcPr>
            <w:tcW w:w="2028" w:type="dxa"/>
            <w:tcBorders>
              <w:top w:val="nil"/>
              <w:left w:val="nil"/>
              <w:bottom w:val="nil"/>
              <w:right w:val="nil"/>
            </w:tcBorders>
            <w:shd w:val="clear" w:color="auto" w:fill="auto"/>
            <w:vAlign w:val="bottom"/>
          </w:tcPr>
          <w:p w14:paraId="3277FFF6" w14:textId="77777777" w:rsidR="009177AB" w:rsidRDefault="009177AB" w:rsidP="00F866EA">
            <w:pPr>
              <w:spacing w:after="0" w:line="240" w:lineRule="auto"/>
              <w:jc w:val="left"/>
              <w:rPr>
                <w:color w:val="000000"/>
              </w:rPr>
            </w:pPr>
            <w:r>
              <w:rPr>
                <w:color w:val="000000"/>
              </w:rPr>
              <w:t>Latvia</w:t>
            </w:r>
          </w:p>
        </w:tc>
        <w:tc>
          <w:tcPr>
            <w:tcW w:w="1828" w:type="dxa"/>
            <w:tcBorders>
              <w:top w:val="nil"/>
              <w:left w:val="nil"/>
              <w:bottom w:val="nil"/>
              <w:right w:val="nil"/>
            </w:tcBorders>
            <w:shd w:val="clear" w:color="auto" w:fill="auto"/>
            <w:vAlign w:val="bottom"/>
          </w:tcPr>
          <w:p w14:paraId="40A33D22"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516D271A" w14:textId="77777777" w:rsidR="009177AB" w:rsidRDefault="009177AB" w:rsidP="00F866EA">
            <w:pPr>
              <w:spacing w:after="0" w:line="240" w:lineRule="auto"/>
              <w:rPr>
                <w:color w:val="000000"/>
              </w:rPr>
            </w:pPr>
            <w:r>
              <w:rPr>
                <w:color w:val="000000"/>
              </w:rPr>
              <w:t>169</w:t>
            </w:r>
          </w:p>
        </w:tc>
        <w:tc>
          <w:tcPr>
            <w:tcW w:w="1252" w:type="dxa"/>
            <w:tcBorders>
              <w:top w:val="nil"/>
              <w:left w:val="nil"/>
              <w:bottom w:val="nil"/>
              <w:right w:val="nil"/>
            </w:tcBorders>
            <w:shd w:val="clear" w:color="auto" w:fill="auto"/>
            <w:vAlign w:val="bottom"/>
          </w:tcPr>
          <w:p w14:paraId="638203E8" w14:textId="77777777" w:rsidR="009177AB" w:rsidRDefault="009177AB" w:rsidP="00F866EA">
            <w:pPr>
              <w:spacing w:after="0" w:line="240" w:lineRule="auto"/>
              <w:rPr>
                <w:color w:val="000000"/>
              </w:rPr>
            </w:pPr>
            <w:r>
              <w:rPr>
                <w:color w:val="000000"/>
              </w:rPr>
              <w:t>83</w:t>
            </w:r>
          </w:p>
        </w:tc>
        <w:tc>
          <w:tcPr>
            <w:tcW w:w="1302" w:type="dxa"/>
            <w:tcBorders>
              <w:top w:val="nil"/>
              <w:left w:val="nil"/>
              <w:bottom w:val="nil"/>
              <w:right w:val="nil"/>
            </w:tcBorders>
            <w:shd w:val="clear" w:color="auto" w:fill="auto"/>
            <w:vAlign w:val="bottom"/>
          </w:tcPr>
          <w:p w14:paraId="0DDCD7F7" w14:textId="77777777" w:rsidR="009177AB" w:rsidRDefault="009177AB" w:rsidP="00F866EA">
            <w:pPr>
              <w:spacing w:after="0" w:line="240" w:lineRule="auto"/>
              <w:rPr>
                <w:color w:val="000000"/>
              </w:rPr>
            </w:pPr>
            <w:r>
              <w:rPr>
                <w:color w:val="000000"/>
              </w:rPr>
              <w:t>24.87</w:t>
            </w:r>
          </w:p>
        </w:tc>
      </w:tr>
      <w:tr w:rsidR="009177AB" w14:paraId="042A61EF" w14:textId="77777777" w:rsidTr="00F866EA">
        <w:trPr>
          <w:trHeight w:val="280"/>
        </w:trPr>
        <w:tc>
          <w:tcPr>
            <w:tcW w:w="2028" w:type="dxa"/>
            <w:tcBorders>
              <w:top w:val="nil"/>
              <w:left w:val="nil"/>
              <w:bottom w:val="nil"/>
              <w:right w:val="nil"/>
            </w:tcBorders>
            <w:shd w:val="clear" w:color="auto" w:fill="auto"/>
            <w:vAlign w:val="bottom"/>
          </w:tcPr>
          <w:p w14:paraId="34DDFC60" w14:textId="77777777" w:rsidR="009177AB" w:rsidRDefault="009177AB" w:rsidP="00F866EA">
            <w:pPr>
              <w:spacing w:after="0" w:line="240" w:lineRule="auto"/>
              <w:jc w:val="left"/>
              <w:rPr>
                <w:color w:val="000000"/>
              </w:rPr>
            </w:pPr>
            <w:r>
              <w:rPr>
                <w:color w:val="000000"/>
              </w:rPr>
              <w:t>Lithuania</w:t>
            </w:r>
          </w:p>
        </w:tc>
        <w:tc>
          <w:tcPr>
            <w:tcW w:w="1828" w:type="dxa"/>
            <w:tcBorders>
              <w:top w:val="nil"/>
              <w:left w:val="nil"/>
              <w:bottom w:val="nil"/>
              <w:right w:val="nil"/>
            </w:tcBorders>
            <w:shd w:val="clear" w:color="auto" w:fill="auto"/>
            <w:vAlign w:val="bottom"/>
          </w:tcPr>
          <w:p w14:paraId="4327ABA4"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63F09854" w14:textId="77777777" w:rsidR="009177AB" w:rsidRDefault="009177AB" w:rsidP="00F866EA">
            <w:pPr>
              <w:spacing w:after="0" w:line="240" w:lineRule="auto"/>
              <w:rPr>
                <w:color w:val="000000"/>
              </w:rPr>
            </w:pPr>
            <w:r>
              <w:rPr>
                <w:color w:val="000000"/>
              </w:rPr>
              <w:t>145</w:t>
            </w:r>
          </w:p>
        </w:tc>
        <w:tc>
          <w:tcPr>
            <w:tcW w:w="1252" w:type="dxa"/>
            <w:tcBorders>
              <w:top w:val="nil"/>
              <w:left w:val="nil"/>
              <w:bottom w:val="nil"/>
              <w:right w:val="nil"/>
            </w:tcBorders>
            <w:shd w:val="clear" w:color="auto" w:fill="auto"/>
            <w:vAlign w:val="bottom"/>
          </w:tcPr>
          <w:p w14:paraId="2010C1FB" w14:textId="77777777" w:rsidR="009177AB" w:rsidRDefault="009177AB" w:rsidP="00F866EA">
            <w:pPr>
              <w:spacing w:after="0" w:line="240" w:lineRule="auto"/>
              <w:rPr>
                <w:color w:val="000000"/>
              </w:rPr>
            </w:pPr>
            <w:r>
              <w:rPr>
                <w:color w:val="000000"/>
              </w:rPr>
              <w:t>78</w:t>
            </w:r>
          </w:p>
        </w:tc>
        <w:tc>
          <w:tcPr>
            <w:tcW w:w="1302" w:type="dxa"/>
            <w:tcBorders>
              <w:top w:val="nil"/>
              <w:left w:val="nil"/>
              <w:bottom w:val="nil"/>
              <w:right w:val="nil"/>
            </w:tcBorders>
            <w:shd w:val="clear" w:color="auto" w:fill="auto"/>
            <w:vAlign w:val="bottom"/>
          </w:tcPr>
          <w:p w14:paraId="3DEE9080" w14:textId="77777777" w:rsidR="009177AB" w:rsidRDefault="009177AB" w:rsidP="00F866EA">
            <w:pPr>
              <w:spacing w:after="0" w:line="240" w:lineRule="auto"/>
              <w:rPr>
                <w:color w:val="000000"/>
              </w:rPr>
            </w:pPr>
            <w:r>
              <w:rPr>
                <w:color w:val="000000"/>
              </w:rPr>
              <w:t>20.26</w:t>
            </w:r>
          </w:p>
        </w:tc>
      </w:tr>
      <w:tr w:rsidR="009177AB" w14:paraId="3F4F6C83" w14:textId="77777777" w:rsidTr="00F866EA">
        <w:trPr>
          <w:trHeight w:val="280"/>
        </w:trPr>
        <w:tc>
          <w:tcPr>
            <w:tcW w:w="2028" w:type="dxa"/>
            <w:tcBorders>
              <w:top w:val="nil"/>
              <w:left w:val="nil"/>
              <w:bottom w:val="nil"/>
              <w:right w:val="nil"/>
            </w:tcBorders>
            <w:shd w:val="clear" w:color="auto" w:fill="auto"/>
            <w:vAlign w:val="bottom"/>
          </w:tcPr>
          <w:p w14:paraId="68FBC2B9" w14:textId="77777777" w:rsidR="009177AB" w:rsidRDefault="009177AB" w:rsidP="00F866EA">
            <w:pPr>
              <w:spacing w:after="0" w:line="240" w:lineRule="auto"/>
              <w:jc w:val="left"/>
              <w:rPr>
                <w:color w:val="000000"/>
              </w:rPr>
            </w:pPr>
            <w:r>
              <w:rPr>
                <w:color w:val="000000"/>
              </w:rPr>
              <w:t>Macedonia</w:t>
            </w:r>
          </w:p>
        </w:tc>
        <w:tc>
          <w:tcPr>
            <w:tcW w:w="1828" w:type="dxa"/>
            <w:tcBorders>
              <w:top w:val="nil"/>
              <w:left w:val="nil"/>
              <w:bottom w:val="nil"/>
              <w:right w:val="nil"/>
            </w:tcBorders>
            <w:shd w:val="clear" w:color="auto" w:fill="auto"/>
            <w:vAlign w:val="bottom"/>
          </w:tcPr>
          <w:p w14:paraId="1D6A1631"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09E20742" w14:textId="77777777" w:rsidR="009177AB" w:rsidRDefault="009177AB" w:rsidP="00F866EA">
            <w:pPr>
              <w:spacing w:after="0" w:line="240" w:lineRule="auto"/>
              <w:rPr>
                <w:color w:val="000000"/>
              </w:rPr>
            </w:pPr>
            <w:r>
              <w:rPr>
                <w:color w:val="000000"/>
              </w:rPr>
              <w:t>54</w:t>
            </w:r>
          </w:p>
        </w:tc>
        <w:tc>
          <w:tcPr>
            <w:tcW w:w="1252" w:type="dxa"/>
            <w:tcBorders>
              <w:top w:val="nil"/>
              <w:left w:val="nil"/>
              <w:bottom w:val="nil"/>
              <w:right w:val="nil"/>
            </w:tcBorders>
            <w:shd w:val="clear" w:color="auto" w:fill="auto"/>
            <w:vAlign w:val="bottom"/>
          </w:tcPr>
          <w:p w14:paraId="3F3D1DF5" w14:textId="77777777" w:rsidR="009177AB" w:rsidRDefault="009177AB" w:rsidP="00F866EA">
            <w:pPr>
              <w:spacing w:after="0" w:line="240" w:lineRule="auto"/>
              <w:rPr>
                <w:color w:val="000000"/>
              </w:rPr>
            </w:pPr>
            <w:r>
              <w:rPr>
                <w:color w:val="000000"/>
              </w:rPr>
              <w:t>74</w:t>
            </w:r>
          </w:p>
        </w:tc>
        <w:tc>
          <w:tcPr>
            <w:tcW w:w="1302" w:type="dxa"/>
            <w:tcBorders>
              <w:top w:val="nil"/>
              <w:left w:val="nil"/>
              <w:bottom w:val="nil"/>
              <w:right w:val="nil"/>
            </w:tcBorders>
            <w:shd w:val="clear" w:color="auto" w:fill="auto"/>
            <w:vAlign w:val="bottom"/>
          </w:tcPr>
          <w:p w14:paraId="26B31593" w14:textId="77777777" w:rsidR="009177AB" w:rsidRDefault="009177AB" w:rsidP="00F866EA">
            <w:pPr>
              <w:spacing w:after="0" w:line="240" w:lineRule="auto"/>
              <w:rPr>
                <w:color w:val="000000"/>
              </w:rPr>
            </w:pPr>
            <w:r>
              <w:rPr>
                <w:color w:val="000000"/>
              </w:rPr>
              <w:t>21.22</w:t>
            </w:r>
          </w:p>
        </w:tc>
      </w:tr>
      <w:tr w:rsidR="009177AB" w14:paraId="191D7383" w14:textId="77777777" w:rsidTr="00F866EA">
        <w:trPr>
          <w:trHeight w:val="280"/>
        </w:trPr>
        <w:tc>
          <w:tcPr>
            <w:tcW w:w="2028" w:type="dxa"/>
            <w:tcBorders>
              <w:top w:val="nil"/>
              <w:left w:val="nil"/>
              <w:bottom w:val="nil"/>
              <w:right w:val="nil"/>
            </w:tcBorders>
            <w:shd w:val="clear" w:color="auto" w:fill="auto"/>
            <w:vAlign w:val="bottom"/>
          </w:tcPr>
          <w:p w14:paraId="6502BBB3" w14:textId="77777777" w:rsidR="009177AB" w:rsidRDefault="009177AB" w:rsidP="00F866EA">
            <w:pPr>
              <w:spacing w:after="0" w:line="240" w:lineRule="auto"/>
              <w:jc w:val="left"/>
              <w:rPr>
                <w:color w:val="000000"/>
              </w:rPr>
            </w:pPr>
            <w:r>
              <w:rPr>
                <w:color w:val="000000"/>
              </w:rPr>
              <w:t>Malaysia</w:t>
            </w:r>
          </w:p>
        </w:tc>
        <w:tc>
          <w:tcPr>
            <w:tcW w:w="1828" w:type="dxa"/>
            <w:tcBorders>
              <w:top w:val="nil"/>
              <w:left w:val="nil"/>
              <w:bottom w:val="nil"/>
              <w:right w:val="nil"/>
            </w:tcBorders>
            <w:shd w:val="clear" w:color="auto" w:fill="auto"/>
            <w:vAlign w:val="bottom"/>
          </w:tcPr>
          <w:p w14:paraId="34E7A143"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nil"/>
              <w:right w:val="nil"/>
            </w:tcBorders>
            <w:shd w:val="clear" w:color="auto" w:fill="auto"/>
            <w:vAlign w:val="bottom"/>
          </w:tcPr>
          <w:p w14:paraId="35225C03" w14:textId="77777777" w:rsidR="009177AB" w:rsidRDefault="009177AB" w:rsidP="00F866EA">
            <w:pPr>
              <w:spacing w:after="0" w:line="240" w:lineRule="auto"/>
              <w:rPr>
                <w:color w:val="000000"/>
              </w:rPr>
            </w:pPr>
            <w:r>
              <w:rPr>
                <w:color w:val="000000"/>
              </w:rPr>
              <w:t>230</w:t>
            </w:r>
          </w:p>
        </w:tc>
        <w:tc>
          <w:tcPr>
            <w:tcW w:w="1252" w:type="dxa"/>
            <w:tcBorders>
              <w:top w:val="nil"/>
              <w:left w:val="nil"/>
              <w:bottom w:val="nil"/>
              <w:right w:val="nil"/>
            </w:tcBorders>
            <w:shd w:val="clear" w:color="auto" w:fill="auto"/>
            <w:vAlign w:val="bottom"/>
          </w:tcPr>
          <w:p w14:paraId="02309C4F" w14:textId="77777777" w:rsidR="009177AB" w:rsidRDefault="009177AB" w:rsidP="00F866EA">
            <w:pPr>
              <w:spacing w:after="0" w:line="240" w:lineRule="auto"/>
              <w:rPr>
                <w:color w:val="000000"/>
              </w:rPr>
            </w:pPr>
            <w:r>
              <w:rPr>
                <w:color w:val="000000"/>
              </w:rPr>
              <w:t>70</w:t>
            </w:r>
          </w:p>
        </w:tc>
        <w:tc>
          <w:tcPr>
            <w:tcW w:w="1302" w:type="dxa"/>
            <w:tcBorders>
              <w:top w:val="nil"/>
              <w:left w:val="nil"/>
              <w:bottom w:val="nil"/>
              <w:right w:val="nil"/>
            </w:tcBorders>
            <w:shd w:val="clear" w:color="auto" w:fill="auto"/>
            <w:vAlign w:val="bottom"/>
          </w:tcPr>
          <w:p w14:paraId="1DE9458A" w14:textId="77777777" w:rsidR="009177AB" w:rsidRDefault="009177AB" w:rsidP="00F866EA">
            <w:pPr>
              <w:spacing w:after="0" w:line="240" w:lineRule="auto"/>
              <w:rPr>
                <w:color w:val="000000"/>
              </w:rPr>
            </w:pPr>
            <w:r>
              <w:rPr>
                <w:color w:val="000000"/>
              </w:rPr>
              <w:t>21.52</w:t>
            </w:r>
          </w:p>
        </w:tc>
      </w:tr>
      <w:tr w:rsidR="009177AB" w14:paraId="7F794E9B" w14:textId="77777777" w:rsidTr="00F866EA">
        <w:trPr>
          <w:trHeight w:val="280"/>
        </w:trPr>
        <w:tc>
          <w:tcPr>
            <w:tcW w:w="2028" w:type="dxa"/>
            <w:tcBorders>
              <w:top w:val="nil"/>
              <w:left w:val="nil"/>
              <w:bottom w:val="nil"/>
              <w:right w:val="nil"/>
            </w:tcBorders>
            <w:shd w:val="clear" w:color="auto" w:fill="auto"/>
            <w:vAlign w:val="bottom"/>
          </w:tcPr>
          <w:p w14:paraId="19E531CC" w14:textId="77777777" w:rsidR="009177AB" w:rsidRDefault="009177AB" w:rsidP="00F866EA">
            <w:pPr>
              <w:spacing w:after="0" w:line="240" w:lineRule="auto"/>
              <w:jc w:val="left"/>
              <w:rPr>
                <w:color w:val="000000"/>
              </w:rPr>
            </w:pPr>
            <w:r>
              <w:rPr>
                <w:color w:val="000000"/>
              </w:rPr>
              <w:t>Mexico</w:t>
            </w:r>
          </w:p>
        </w:tc>
        <w:tc>
          <w:tcPr>
            <w:tcW w:w="1828" w:type="dxa"/>
            <w:tcBorders>
              <w:top w:val="nil"/>
              <w:left w:val="nil"/>
              <w:bottom w:val="nil"/>
              <w:right w:val="nil"/>
            </w:tcBorders>
            <w:shd w:val="clear" w:color="auto" w:fill="auto"/>
            <w:vAlign w:val="bottom"/>
          </w:tcPr>
          <w:p w14:paraId="08B42459" w14:textId="77777777" w:rsidR="009177AB" w:rsidRDefault="009177AB" w:rsidP="00F866EA">
            <w:pPr>
              <w:spacing w:after="0" w:line="240" w:lineRule="auto"/>
              <w:jc w:val="left"/>
              <w:rPr>
                <w:color w:val="000000"/>
              </w:rPr>
            </w:pPr>
            <w:r>
              <w:rPr>
                <w:color w:val="000000"/>
              </w:rPr>
              <w:t>Latin America</w:t>
            </w:r>
          </w:p>
        </w:tc>
        <w:tc>
          <w:tcPr>
            <w:tcW w:w="1202" w:type="dxa"/>
            <w:tcBorders>
              <w:top w:val="nil"/>
              <w:left w:val="nil"/>
              <w:bottom w:val="nil"/>
              <w:right w:val="nil"/>
            </w:tcBorders>
            <w:shd w:val="clear" w:color="auto" w:fill="auto"/>
            <w:vAlign w:val="bottom"/>
          </w:tcPr>
          <w:p w14:paraId="01E31785" w14:textId="77777777" w:rsidR="009177AB" w:rsidRDefault="009177AB" w:rsidP="00F866EA">
            <w:pPr>
              <w:spacing w:after="0" w:line="240" w:lineRule="auto"/>
              <w:rPr>
                <w:color w:val="000000"/>
              </w:rPr>
            </w:pPr>
            <w:r>
              <w:rPr>
                <w:color w:val="000000"/>
              </w:rPr>
              <w:t>247</w:t>
            </w:r>
          </w:p>
        </w:tc>
        <w:tc>
          <w:tcPr>
            <w:tcW w:w="1252" w:type="dxa"/>
            <w:tcBorders>
              <w:top w:val="nil"/>
              <w:left w:val="nil"/>
              <w:bottom w:val="nil"/>
              <w:right w:val="nil"/>
            </w:tcBorders>
            <w:shd w:val="clear" w:color="auto" w:fill="auto"/>
            <w:vAlign w:val="bottom"/>
          </w:tcPr>
          <w:p w14:paraId="0009EABD" w14:textId="77777777" w:rsidR="009177AB" w:rsidRDefault="009177AB" w:rsidP="00F866EA">
            <w:pPr>
              <w:spacing w:after="0" w:line="240" w:lineRule="auto"/>
              <w:rPr>
                <w:color w:val="000000"/>
              </w:rPr>
            </w:pPr>
            <w:r>
              <w:rPr>
                <w:color w:val="000000"/>
              </w:rPr>
              <w:t>58</w:t>
            </w:r>
          </w:p>
        </w:tc>
        <w:tc>
          <w:tcPr>
            <w:tcW w:w="1302" w:type="dxa"/>
            <w:tcBorders>
              <w:top w:val="nil"/>
              <w:left w:val="nil"/>
              <w:bottom w:val="nil"/>
              <w:right w:val="nil"/>
            </w:tcBorders>
            <w:shd w:val="clear" w:color="auto" w:fill="auto"/>
            <w:vAlign w:val="bottom"/>
          </w:tcPr>
          <w:p w14:paraId="177F0897" w14:textId="77777777" w:rsidR="009177AB" w:rsidRDefault="009177AB" w:rsidP="00F866EA">
            <w:pPr>
              <w:spacing w:after="0" w:line="240" w:lineRule="auto"/>
              <w:rPr>
                <w:color w:val="000000"/>
              </w:rPr>
            </w:pPr>
            <w:r>
              <w:rPr>
                <w:color w:val="000000"/>
              </w:rPr>
              <w:t>23.85</w:t>
            </w:r>
          </w:p>
        </w:tc>
      </w:tr>
      <w:tr w:rsidR="009177AB" w14:paraId="2F3BDBCA" w14:textId="77777777" w:rsidTr="00F866EA">
        <w:trPr>
          <w:trHeight w:val="280"/>
        </w:trPr>
        <w:tc>
          <w:tcPr>
            <w:tcW w:w="2028" w:type="dxa"/>
            <w:tcBorders>
              <w:top w:val="nil"/>
              <w:left w:val="nil"/>
              <w:bottom w:val="nil"/>
              <w:right w:val="nil"/>
            </w:tcBorders>
            <w:shd w:val="clear" w:color="auto" w:fill="auto"/>
            <w:vAlign w:val="bottom"/>
          </w:tcPr>
          <w:p w14:paraId="6BC983A9" w14:textId="77777777" w:rsidR="009177AB" w:rsidRDefault="009177AB" w:rsidP="00F866EA">
            <w:pPr>
              <w:spacing w:after="0" w:line="240" w:lineRule="auto"/>
              <w:jc w:val="left"/>
              <w:rPr>
                <w:color w:val="000000"/>
              </w:rPr>
            </w:pPr>
            <w:r>
              <w:rPr>
                <w:color w:val="000000"/>
              </w:rPr>
              <w:t>Netherlands</w:t>
            </w:r>
          </w:p>
        </w:tc>
        <w:tc>
          <w:tcPr>
            <w:tcW w:w="1828" w:type="dxa"/>
            <w:tcBorders>
              <w:top w:val="nil"/>
              <w:left w:val="nil"/>
              <w:bottom w:val="nil"/>
              <w:right w:val="nil"/>
            </w:tcBorders>
            <w:shd w:val="clear" w:color="auto" w:fill="auto"/>
            <w:vAlign w:val="bottom"/>
          </w:tcPr>
          <w:p w14:paraId="2CCCC97B"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475A3A7E" w14:textId="77777777" w:rsidR="009177AB" w:rsidRDefault="009177AB" w:rsidP="00F866EA">
            <w:pPr>
              <w:spacing w:after="0" w:line="240" w:lineRule="auto"/>
              <w:rPr>
                <w:color w:val="000000"/>
              </w:rPr>
            </w:pPr>
            <w:r>
              <w:rPr>
                <w:color w:val="000000"/>
              </w:rPr>
              <w:t>301</w:t>
            </w:r>
          </w:p>
        </w:tc>
        <w:tc>
          <w:tcPr>
            <w:tcW w:w="1252" w:type="dxa"/>
            <w:tcBorders>
              <w:top w:val="nil"/>
              <w:left w:val="nil"/>
              <w:bottom w:val="nil"/>
              <w:right w:val="nil"/>
            </w:tcBorders>
            <w:shd w:val="clear" w:color="auto" w:fill="auto"/>
            <w:vAlign w:val="bottom"/>
          </w:tcPr>
          <w:p w14:paraId="6B82C033" w14:textId="77777777" w:rsidR="009177AB" w:rsidRDefault="009177AB" w:rsidP="00F866EA">
            <w:pPr>
              <w:spacing w:after="0" w:line="240" w:lineRule="auto"/>
              <w:rPr>
                <w:color w:val="000000"/>
              </w:rPr>
            </w:pPr>
            <w:r>
              <w:rPr>
                <w:color w:val="000000"/>
              </w:rPr>
              <w:t>81</w:t>
            </w:r>
          </w:p>
        </w:tc>
        <w:tc>
          <w:tcPr>
            <w:tcW w:w="1302" w:type="dxa"/>
            <w:tcBorders>
              <w:top w:val="nil"/>
              <w:left w:val="nil"/>
              <w:bottom w:val="nil"/>
              <w:right w:val="nil"/>
            </w:tcBorders>
            <w:shd w:val="clear" w:color="auto" w:fill="auto"/>
            <w:vAlign w:val="bottom"/>
          </w:tcPr>
          <w:p w14:paraId="121448DC" w14:textId="77777777" w:rsidR="009177AB" w:rsidRDefault="009177AB" w:rsidP="00F866EA">
            <w:pPr>
              <w:spacing w:after="0" w:line="240" w:lineRule="auto"/>
              <w:rPr>
                <w:color w:val="000000"/>
              </w:rPr>
            </w:pPr>
            <w:r>
              <w:rPr>
                <w:color w:val="000000"/>
              </w:rPr>
              <w:t>20.14</w:t>
            </w:r>
          </w:p>
        </w:tc>
      </w:tr>
      <w:tr w:rsidR="009177AB" w14:paraId="59827E60" w14:textId="77777777" w:rsidTr="00F866EA">
        <w:trPr>
          <w:trHeight w:val="280"/>
        </w:trPr>
        <w:tc>
          <w:tcPr>
            <w:tcW w:w="2028" w:type="dxa"/>
            <w:tcBorders>
              <w:top w:val="nil"/>
              <w:left w:val="nil"/>
              <w:bottom w:val="nil"/>
              <w:right w:val="nil"/>
            </w:tcBorders>
            <w:shd w:val="clear" w:color="auto" w:fill="auto"/>
            <w:vAlign w:val="bottom"/>
          </w:tcPr>
          <w:p w14:paraId="266BB33E" w14:textId="77777777" w:rsidR="009177AB" w:rsidRDefault="009177AB" w:rsidP="00F866EA">
            <w:pPr>
              <w:spacing w:after="0" w:line="240" w:lineRule="auto"/>
              <w:jc w:val="left"/>
              <w:rPr>
                <w:color w:val="000000"/>
              </w:rPr>
            </w:pPr>
            <w:r>
              <w:rPr>
                <w:color w:val="000000"/>
              </w:rPr>
              <w:t>New Zealand</w:t>
            </w:r>
          </w:p>
        </w:tc>
        <w:tc>
          <w:tcPr>
            <w:tcW w:w="1828" w:type="dxa"/>
            <w:tcBorders>
              <w:top w:val="nil"/>
              <w:left w:val="nil"/>
              <w:bottom w:val="nil"/>
              <w:right w:val="nil"/>
            </w:tcBorders>
            <w:shd w:val="clear" w:color="auto" w:fill="auto"/>
            <w:vAlign w:val="bottom"/>
          </w:tcPr>
          <w:p w14:paraId="0CC829B8" w14:textId="77777777" w:rsidR="009177AB" w:rsidRDefault="009177AB" w:rsidP="00F866EA">
            <w:pPr>
              <w:spacing w:after="0" w:line="240" w:lineRule="auto"/>
              <w:jc w:val="left"/>
              <w:rPr>
                <w:color w:val="000000"/>
              </w:rPr>
            </w:pPr>
            <w:r>
              <w:rPr>
                <w:color w:val="000000"/>
              </w:rPr>
              <w:t>English West</w:t>
            </w:r>
          </w:p>
        </w:tc>
        <w:tc>
          <w:tcPr>
            <w:tcW w:w="1202" w:type="dxa"/>
            <w:tcBorders>
              <w:top w:val="nil"/>
              <w:left w:val="nil"/>
              <w:bottom w:val="nil"/>
              <w:right w:val="nil"/>
            </w:tcBorders>
            <w:shd w:val="clear" w:color="auto" w:fill="auto"/>
            <w:vAlign w:val="bottom"/>
          </w:tcPr>
          <w:p w14:paraId="75F5234D" w14:textId="77777777" w:rsidR="009177AB" w:rsidRDefault="009177AB" w:rsidP="00F866EA">
            <w:pPr>
              <w:spacing w:after="0" w:line="240" w:lineRule="auto"/>
              <w:rPr>
                <w:color w:val="000000"/>
              </w:rPr>
            </w:pPr>
            <w:r>
              <w:rPr>
                <w:color w:val="000000"/>
              </w:rPr>
              <w:t>129</w:t>
            </w:r>
          </w:p>
        </w:tc>
        <w:tc>
          <w:tcPr>
            <w:tcW w:w="1252" w:type="dxa"/>
            <w:tcBorders>
              <w:top w:val="nil"/>
              <w:left w:val="nil"/>
              <w:bottom w:val="nil"/>
              <w:right w:val="nil"/>
            </w:tcBorders>
            <w:shd w:val="clear" w:color="auto" w:fill="auto"/>
            <w:vAlign w:val="bottom"/>
          </w:tcPr>
          <w:p w14:paraId="5858284C" w14:textId="77777777" w:rsidR="009177AB" w:rsidRDefault="009177AB" w:rsidP="00F866EA">
            <w:pPr>
              <w:spacing w:after="0" w:line="240" w:lineRule="auto"/>
              <w:rPr>
                <w:color w:val="000000"/>
              </w:rPr>
            </w:pPr>
            <w:r>
              <w:rPr>
                <w:color w:val="000000"/>
              </w:rPr>
              <w:t>86</w:t>
            </w:r>
          </w:p>
        </w:tc>
        <w:tc>
          <w:tcPr>
            <w:tcW w:w="1302" w:type="dxa"/>
            <w:tcBorders>
              <w:top w:val="nil"/>
              <w:left w:val="nil"/>
              <w:bottom w:val="nil"/>
              <w:right w:val="nil"/>
            </w:tcBorders>
            <w:shd w:val="clear" w:color="auto" w:fill="auto"/>
            <w:vAlign w:val="bottom"/>
          </w:tcPr>
          <w:p w14:paraId="490ED808" w14:textId="77777777" w:rsidR="009177AB" w:rsidRDefault="009177AB" w:rsidP="00F866EA">
            <w:pPr>
              <w:spacing w:after="0" w:line="240" w:lineRule="auto"/>
              <w:rPr>
                <w:color w:val="000000"/>
              </w:rPr>
            </w:pPr>
            <w:r>
              <w:rPr>
                <w:color w:val="000000"/>
              </w:rPr>
              <w:t>19.19</w:t>
            </w:r>
          </w:p>
        </w:tc>
      </w:tr>
      <w:tr w:rsidR="009177AB" w14:paraId="42C461C5" w14:textId="77777777" w:rsidTr="00F866EA">
        <w:trPr>
          <w:trHeight w:val="280"/>
        </w:trPr>
        <w:tc>
          <w:tcPr>
            <w:tcW w:w="2028" w:type="dxa"/>
            <w:tcBorders>
              <w:top w:val="nil"/>
              <w:left w:val="nil"/>
              <w:bottom w:val="nil"/>
              <w:right w:val="nil"/>
            </w:tcBorders>
            <w:shd w:val="clear" w:color="auto" w:fill="auto"/>
            <w:vAlign w:val="bottom"/>
          </w:tcPr>
          <w:p w14:paraId="7E37100C" w14:textId="77777777" w:rsidR="009177AB" w:rsidRDefault="009177AB" w:rsidP="00F866EA">
            <w:pPr>
              <w:spacing w:after="0" w:line="240" w:lineRule="auto"/>
              <w:jc w:val="left"/>
              <w:rPr>
                <w:color w:val="000000"/>
              </w:rPr>
            </w:pPr>
            <w:r>
              <w:rPr>
                <w:color w:val="000000"/>
              </w:rPr>
              <w:t>Nigeria</w:t>
            </w:r>
          </w:p>
        </w:tc>
        <w:tc>
          <w:tcPr>
            <w:tcW w:w="1828" w:type="dxa"/>
            <w:tcBorders>
              <w:top w:val="nil"/>
              <w:left w:val="nil"/>
              <w:bottom w:val="nil"/>
              <w:right w:val="nil"/>
            </w:tcBorders>
            <w:shd w:val="clear" w:color="auto" w:fill="auto"/>
            <w:vAlign w:val="bottom"/>
          </w:tcPr>
          <w:p w14:paraId="216FA122" w14:textId="77777777" w:rsidR="009177AB" w:rsidRDefault="009177AB" w:rsidP="00F866EA">
            <w:pPr>
              <w:spacing w:after="0" w:line="240" w:lineRule="auto"/>
              <w:jc w:val="left"/>
              <w:rPr>
                <w:color w:val="000000"/>
              </w:rPr>
            </w:pPr>
            <w:r>
              <w:rPr>
                <w:color w:val="000000"/>
              </w:rPr>
              <w:t>Africa</w:t>
            </w:r>
          </w:p>
        </w:tc>
        <w:tc>
          <w:tcPr>
            <w:tcW w:w="1202" w:type="dxa"/>
            <w:tcBorders>
              <w:top w:val="nil"/>
              <w:left w:val="nil"/>
              <w:bottom w:val="nil"/>
              <w:right w:val="nil"/>
            </w:tcBorders>
            <w:shd w:val="clear" w:color="auto" w:fill="auto"/>
            <w:vAlign w:val="bottom"/>
          </w:tcPr>
          <w:p w14:paraId="52856A18" w14:textId="77777777" w:rsidR="009177AB" w:rsidRDefault="009177AB" w:rsidP="00F866EA">
            <w:pPr>
              <w:spacing w:after="0" w:line="240" w:lineRule="auto"/>
              <w:rPr>
                <w:color w:val="000000"/>
              </w:rPr>
            </w:pPr>
            <w:r>
              <w:rPr>
                <w:color w:val="000000"/>
              </w:rPr>
              <w:t>135</w:t>
            </w:r>
          </w:p>
        </w:tc>
        <w:tc>
          <w:tcPr>
            <w:tcW w:w="1252" w:type="dxa"/>
            <w:tcBorders>
              <w:top w:val="nil"/>
              <w:left w:val="nil"/>
              <w:bottom w:val="nil"/>
              <w:right w:val="nil"/>
            </w:tcBorders>
            <w:shd w:val="clear" w:color="auto" w:fill="auto"/>
            <w:vAlign w:val="bottom"/>
          </w:tcPr>
          <w:p w14:paraId="63440544" w14:textId="77777777" w:rsidR="009177AB" w:rsidRDefault="009177AB" w:rsidP="00F866EA">
            <w:pPr>
              <w:spacing w:after="0" w:line="240" w:lineRule="auto"/>
              <w:rPr>
                <w:color w:val="000000"/>
              </w:rPr>
            </w:pPr>
            <w:r>
              <w:rPr>
                <w:color w:val="000000"/>
              </w:rPr>
              <w:t>33</w:t>
            </w:r>
          </w:p>
        </w:tc>
        <w:tc>
          <w:tcPr>
            <w:tcW w:w="1302" w:type="dxa"/>
            <w:tcBorders>
              <w:top w:val="nil"/>
              <w:left w:val="nil"/>
              <w:bottom w:val="nil"/>
              <w:right w:val="nil"/>
            </w:tcBorders>
            <w:shd w:val="clear" w:color="auto" w:fill="auto"/>
            <w:vAlign w:val="bottom"/>
          </w:tcPr>
          <w:p w14:paraId="438AE6C8" w14:textId="77777777" w:rsidR="009177AB" w:rsidRDefault="009177AB" w:rsidP="00F866EA">
            <w:pPr>
              <w:spacing w:after="0" w:line="240" w:lineRule="auto"/>
              <w:rPr>
                <w:color w:val="000000"/>
              </w:rPr>
            </w:pPr>
            <w:r>
              <w:rPr>
                <w:color w:val="000000"/>
              </w:rPr>
              <w:t>24.72</w:t>
            </w:r>
          </w:p>
        </w:tc>
      </w:tr>
      <w:tr w:rsidR="009177AB" w14:paraId="726A8284" w14:textId="77777777" w:rsidTr="00F866EA">
        <w:trPr>
          <w:trHeight w:val="280"/>
        </w:trPr>
        <w:tc>
          <w:tcPr>
            <w:tcW w:w="2028" w:type="dxa"/>
            <w:tcBorders>
              <w:top w:val="nil"/>
              <w:left w:val="nil"/>
              <w:bottom w:val="nil"/>
              <w:right w:val="nil"/>
            </w:tcBorders>
            <w:shd w:val="clear" w:color="auto" w:fill="auto"/>
            <w:vAlign w:val="bottom"/>
          </w:tcPr>
          <w:p w14:paraId="02E7979D" w14:textId="77777777" w:rsidR="009177AB" w:rsidRDefault="009177AB" w:rsidP="00F866EA">
            <w:pPr>
              <w:spacing w:after="0" w:line="240" w:lineRule="auto"/>
              <w:jc w:val="left"/>
              <w:rPr>
                <w:color w:val="000000"/>
              </w:rPr>
            </w:pPr>
            <w:r>
              <w:rPr>
                <w:color w:val="000000"/>
              </w:rPr>
              <w:t>Norway</w:t>
            </w:r>
          </w:p>
        </w:tc>
        <w:tc>
          <w:tcPr>
            <w:tcW w:w="1828" w:type="dxa"/>
            <w:tcBorders>
              <w:top w:val="nil"/>
              <w:left w:val="nil"/>
              <w:bottom w:val="nil"/>
              <w:right w:val="nil"/>
            </w:tcBorders>
            <w:shd w:val="clear" w:color="auto" w:fill="auto"/>
            <w:vAlign w:val="bottom"/>
          </w:tcPr>
          <w:p w14:paraId="09B01BBC"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4424A988" w14:textId="77777777" w:rsidR="009177AB" w:rsidRDefault="009177AB" w:rsidP="00F866EA">
            <w:pPr>
              <w:spacing w:after="0" w:line="240" w:lineRule="auto"/>
              <w:rPr>
                <w:color w:val="000000"/>
              </w:rPr>
            </w:pPr>
            <w:r>
              <w:rPr>
                <w:color w:val="000000"/>
              </w:rPr>
              <w:t>159</w:t>
            </w:r>
          </w:p>
        </w:tc>
        <w:tc>
          <w:tcPr>
            <w:tcW w:w="1252" w:type="dxa"/>
            <w:tcBorders>
              <w:top w:val="nil"/>
              <w:left w:val="nil"/>
              <w:bottom w:val="nil"/>
              <w:right w:val="nil"/>
            </w:tcBorders>
            <w:shd w:val="clear" w:color="auto" w:fill="auto"/>
            <w:vAlign w:val="bottom"/>
          </w:tcPr>
          <w:p w14:paraId="4D8893A6" w14:textId="77777777" w:rsidR="009177AB" w:rsidRDefault="009177AB" w:rsidP="00F866EA">
            <w:pPr>
              <w:spacing w:after="0" w:line="240" w:lineRule="auto"/>
              <w:rPr>
                <w:color w:val="000000"/>
              </w:rPr>
            </w:pPr>
            <w:r>
              <w:rPr>
                <w:color w:val="000000"/>
              </w:rPr>
              <w:t>74</w:t>
            </w:r>
          </w:p>
        </w:tc>
        <w:tc>
          <w:tcPr>
            <w:tcW w:w="1302" w:type="dxa"/>
            <w:tcBorders>
              <w:top w:val="nil"/>
              <w:left w:val="nil"/>
              <w:bottom w:val="nil"/>
              <w:right w:val="nil"/>
            </w:tcBorders>
            <w:shd w:val="clear" w:color="auto" w:fill="auto"/>
            <w:vAlign w:val="bottom"/>
          </w:tcPr>
          <w:p w14:paraId="0B951C47" w14:textId="77777777" w:rsidR="009177AB" w:rsidRDefault="009177AB" w:rsidP="00F866EA">
            <w:pPr>
              <w:spacing w:after="0" w:line="240" w:lineRule="auto"/>
              <w:rPr>
                <w:color w:val="000000"/>
              </w:rPr>
            </w:pPr>
            <w:r>
              <w:rPr>
                <w:color w:val="000000"/>
              </w:rPr>
              <w:t>23.89</w:t>
            </w:r>
          </w:p>
        </w:tc>
      </w:tr>
      <w:tr w:rsidR="009177AB" w14:paraId="4637B8A4" w14:textId="77777777" w:rsidTr="00F866EA">
        <w:trPr>
          <w:trHeight w:val="280"/>
        </w:trPr>
        <w:tc>
          <w:tcPr>
            <w:tcW w:w="2028" w:type="dxa"/>
            <w:tcBorders>
              <w:top w:val="nil"/>
              <w:left w:val="nil"/>
              <w:bottom w:val="nil"/>
              <w:right w:val="nil"/>
            </w:tcBorders>
            <w:shd w:val="clear" w:color="auto" w:fill="auto"/>
            <w:vAlign w:val="bottom"/>
          </w:tcPr>
          <w:p w14:paraId="7B1E0107" w14:textId="77777777" w:rsidR="009177AB" w:rsidRDefault="009177AB" w:rsidP="00F866EA">
            <w:pPr>
              <w:spacing w:after="0" w:line="240" w:lineRule="auto"/>
              <w:jc w:val="left"/>
              <w:rPr>
                <w:color w:val="000000"/>
              </w:rPr>
            </w:pPr>
            <w:r>
              <w:rPr>
                <w:color w:val="000000"/>
              </w:rPr>
              <w:t>Pakistan</w:t>
            </w:r>
          </w:p>
        </w:tc>
        <w:tc>
          <w:tcPr>
            <w:tcW w:w="1828" w:type="dxa"/>
            <w:tcBorders>
              <w:top w:val="nil"/>
              <w:left w:val="nil"/>
              <w:bottom w:val="nil"/>
              <w:right w:val="nil"/>
            </w:tcBorders>
            <w:shd w:val="clear" w:color="auto" w:fill="auto"/>
            <w:vAlign w:val="bottom"/>
          </w:tcPr>
          <w:p w14:paraId="491A6C25"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nil"/>
              <w:right w:val="nil"/>
            </w:tcBorders>
            <w:shd w:val="clear" w:color="auto" w:fill="auto"/>
            <w:vAlign w:val="bottom"/>
          </w:tcPr>
          <w:p w14:paraId="15B391FF" w14:textId="77777777" w:rsidR="009177AB" w:rsidRDefault="009177AB" w:rsidP="00F866EA">
            <w:pPr>
              <w:spacing w:after="0" w:line="240" w:lineRule="auto"/>
              <w:rPr>
                <w:color w:val="000000"/>
              </w:rPr>
            </w:pPr>
            <w:r>
              <w:rPr>
                <w:color w:val="000000"/>
              </w:rPr>
              <w:t>114</w:t>
            </w:r>
          </w:p>
        </w:tc>
        <w:tc>
          <w:tcPr>
            <w:tcW w:w="1252" w:type="dxa"/>
            <w:tcBorders>
              <w:top w:val="nil"/>
              <w:left w:val="nil"/>
              <w:bottom w:val="nil"/>
              <w:right w:val="nil"/>
            </w:tcBorders>
            <w:shd w:val="clear" w:color="auto" w:fill="auto"/>
            <w:vAlign w:val="bottom"/>
          </w:tcPr>
          <w:p w14:paraId="24F4B336" w14:textId="77777777" w:rsidR="009177AB" w:rsidRDefault="009177AB" w:rsidP="00F866EA">
            <w:pPr>
              <w:spacing w:after="0" w:line="240" w:lineRule="auto"/>
              <w:rPr>
                <w:color w:val="000000"/>
              </w:rPr>
            </w:pPr>
            <w:r>
              <w:rPr>
                <w:color w:val="000000"/>
              </w:rPr>
              <w:t>50</w:t>
            </w:r>
          </w:p>
        </w:tc>
        <w:tc>
          <w:tcPr>
            <w:tcW w:w="1302" w:type="dxa"/>
            <w:tcBorders>
              <w:top w:val="nil"/>
              <w:left w:val="nil"/>
              <w:bottom w:val="nil"/>
              <w:right w:val="nil"/>
            </w:tcBorders>
            <w:shd w:val="clear" w:color="auto" w:fill="auto"/>
            <w:vAlign w:val="bottom"/>
          </w:tcPr>
          <w:p w14:paraId="5A8BF4B5" w14:textId="77777777" w:rsidR="009177AB" w:rsidRDefault="009177AB" w:rsidP="00F866EA">
            <w:pPr>
              <w:spacing w:after="0" w:line="240" w:lineRule="auto"/>
              <w:rPr>
                <w:color w:val="000000"/>
              </w:rPr>
            </w:pPr>
            <w:r>
              <w:rPr>
                <w:color w:val="000000"/>
              </w:rPr>
              <w:t>20.61</w:t>
            </w:r>
          </w:p>
        </w:tc>
      </w:tr>
      <w:tr w:rsidR="009177AB" w14:paraId="4787E3EC" w14:textId="77777777" w:rsidTr="00F866EA">
        <w:trPr>
          <w:trHeight w:val="280"/>
        </w:trPr>
        <w:tc>
          <w:tcPr>
            <w:tcW w:w="2028" w:type="dxa"/>
            <w:tcBorders>
              <w:top w:val="nil"/>
              <w:left w:val="nil"/>
              <w:bottom w:val="nil"/>
              <w:right w:val="nil"/>
            </w:tcBorders>
            <w:shd w:val="clear" w:color="auto" w:fill="auto"/>
            <w:vAlign w:val="bottom"/>
          </w:tcPr>
          <w:p w14:paraId="62B35334" w14:textId="77777777" w:rsidR="009177AB" w:rsidRDefault="009177AB" w:rsidP="00F866EA">
            <w:pPr>
              <w:spacing w:after="0" w:line="240" w:lineRule="auto"/>
              <w:jc w:val="left"/>
              <w:rPr>
                <w:color w:val="000000"/>
              </w:rPr>
            </w:pPr>
            <w:r>
              <w:rPr>
                <w:color w:val="000000"/>
              </w:rPr>
              <w:t>Palestine</w:t>
            </w:r>
          </w:p>
        </w:tc>
        <w:tc>
          <w:tcPr>
            <w:tcW w:w="1828" w:type="dxa"/>
            <w:tcBorders>
              <w:top w:val="nil"/>
              <w:left w:val="nil"/>
              <w:bottom w:val="nil"/>
              <w:right w:val="nil"/>
            </w:tcBorders>
            <w:shd w:val="clear" w:color="auto" w:fill="auto"/>
            <w:vAlign w:val="bottom"/>
          </w:tcPr>
          <w:p w14:paraId="148BD3C0" w14:textId="77777777" w:rsidR="009177AB" w:rsidRDefault="009177AB" w:rsidP="00F866EA">
            <w:pPr>
              <w:spacing w:after="0" w:line="240" w:lineRule="auto"/>
              <w:jc w:val="left"/>
              <w:rPr>
                <w:color w:val="000000"/>
              </w:rPr>
            </w:pPr>
            <w:r>
              <w:rPr>
                <w:color w:val="000000"/>
              </w:rPr>
              <w:t>Middle East</w:t>
            </w:r>
          </w:p>
        </w:tc>
        <w:tc>
          <w:tcPr>
            <w:tcW w:w="1202" w:type="dxa"/>
            <w:tcBorders>
              <w:top w:val="nil"/>
              <w:left w:val="nil"/>
              <w:bottom w:val="nil"/>
              <w:right w:val="nil"/>
            </w:tcBorders>
            <w:shd w:val="clear" w:color="auto" w:fill="auto"/>
            <w:vAlign w:val="bottom"/>
          </w:tcPr>
          <w:p w14:paraId="534728C4" w14:textId="77777777" w:rsidR="009177AB" w:rsidRDefault="009177AB" w:rsidP="00F866EA">
            <w:pPr>
              <w:spacing w:after="0" w:line="240" w:lineRule="auto"/>
              <w:rPr>
                <w:color w:val="000000"/>
              </w:rPr>
            </w:pPr>
            <w:r>
              <w:rPr>
                <w:color w:val="000000"/>
              </w:rPr>
              <w:t>295</w:t>
            </w:r>
          </w:p>
        </w:tc>
        <w:tc>
          <w:tcPr>
            <w:tcW w:w="1252" w:type="dxa"/>
            <w:tcBorders>
              <w:top w:val="nil"/>
              <w:left w:val="nil"/>
              <w:bottom w:val="nil"/>
              <w:right w:val="nil"/>
            </w:tcBorders>
            <w:shd w:val="clear" w:color="auto" w:fill="auto"/>
            <w:vAlign w:val="bottom"/>
          </w:tcPr>
          <w:p w14:paraId="6BF3D3FF" w14:textId="77777777" w:rsidR="009177AB" w:rsidRDefault="009177AB" w:rsidP="00F866EA">
            <w:pPr>
              <w:spacing w:after="0" w:line="240" w:lineRule="auto"/>
              <w:rPr>
                <w:color w:val="000000"/>
              </w:rPr>
            </w:pPr>
            <w:r>
              <w:rPr>
                <w:color w:val="000000"/>
              </w:rPr>
              <w:t>83</w:t>
            </w:r>
          </w:p>
        </w:tc>
        <w:tc>
          <w:tcPr>
            <w:tcW w:w="1302" w:type="dxa"/>
            <w:tcBorders>
              <w:top w:val="nil"/>
              <w:left w:val="nil"/>
              <w:bottom w:val="nil"/>
              <w:right w:val="nil"/>
            </w:tcBorders>
            <w:shd w:val="clear" w:color="auto" w:fill="auto"/>
            <w:vAlign w:val="bottom"/>
          </w:tcPr>
          <w:p w14:paraId="0418D3F4" w14:textId="77777777" w:rsidR="009177AB" w:rsidRDefault="009177AB" w:rsidP="00F866EA">
            <w:pPr>
              <w:spacing w:after="0" w:line="240" w:lineRule="auto"/>
              <w:rPr>
                <w:color w:val="000000"/>
              </w:rPr>
            </w:pPr>
            <w:r>
              <w:rPr>
                <w:color w:val="000000"/>
              </w:rPr>
              <w:t>22.17</w:t>
            </w:r>
          </w:p>
        </w:tc>
      </w:tr>
      <w:tr w:rsidR="009177AB" w14:paraId="7DEF4F7E" w14:textId="77777777" w:rsidTr="00F866EA">
        <w:trPr>
          <w:trHeight w:val="280"/>
        </w:trPr>
        <w:tc>
          <w:tcPr>
            <w:tcW w:w="2028" w:type="dxa"/>
            <w:tcBorders>
              <w:top w:val="nil"/>
              <w:left w:val="nil"/>
              <w:bottom w:val="nil"/>
              <w:right w:val="nil"/>
            </w:tcBorders>
            <w:shd w:val="clear" w:color="auto" w:fill="auto"/>
            <w:vAlign w:val="bottom"/>
          </w:tcPr>
          <w:p w14:paraId="433FBBFC" w14:textId="77777777" w:rsidR="009177AB" w:rsidRDefault="009177AB" w:rsidP="00F866EA">
            <w:pPr>
              <w:spacing w:after="0" w:line="240" w:lineRule="auto"/>
              <w:jc w:val="left"/>
              <w:rPr>
                <w:color w:val="000000"/>
              </w:rPr>
            </w:pPr>
            <w:r>
              <w:rPr>
                <w:color w:val="000000"/>
              </w:rPr>
              <w:lastRenderedPageBreak/>
              <w:t>Peru</w:t>
            </w:r>
          </w:p>
        </w:tc>
        <w:tc>
          <w:tcPr>
            <w:tcW w:w="1828" w:type="dxa"/>
            <w:tcBorders>
              <w:top w:val="nil"/>
              <w:left w:val="nil"/>
              <w:bottom w:val="nil"/>
              <w:right w:val="nil"/>
            </w:tcBorders>
            <w:shd w:val="clear" w:color="auto" w:fill="auto"/>
            <w:vAlign w:val="bottom"/>
          </w:tcPr>
          <w:p w14:paraId="7F1B97EC" w14:textId="77777777" w:rsidR="009177AB" w:rsidRDefault="009177AB" w:rsidP="00F866EA">
            <w:pPr>
              <w:spacing w:after="0" w:line="240" w:lineRule="auto"/>
              <w:jc w:val="left"/>
              <w:rPr>
                <w:color w:val="000000"/>
              </w:rPr>
            </w:pPr>
            <w:r>
              <w:rPr>
                <w:color w:val="000000"/>
              </w:rPr>
              <w:t>Latin America</w:t>
            </w:r>
          </w:p>
        </w:tc>
        <w:tc>
          <w:tcPr>
            <w:tcW w:w="1202" w:type="dxa"/>
            <w:tcBorders>
              <w:top w:val="nil"/>
              <w:left w:val="nil"/>
              <w:bottom w:val="nil"/>
              <w:right w:val="nil"/>
            </w:tcBorders>
            <w:shd w:val="clear" w:color="auto" w:fill="auto"/>
            <w:vAlign w:val="bottom"/>
          </w:tcPr>
          <w:p w14:paraId="60A02FB8" w14:textId="77777777" w:rsidR="009177AB" w:rsidRDefault="009177AB" w:rsidP="00F866EA">
            <w:pPr>
              <w:spacing w:after="0" w:line="240" w:lineRule="auto"/>
              <w:rPr>
                <w:color w:val="000000"/>
              </w:rPr>
            </w:pPr>
            <w:r>
              <w:rPr>
                <w:color w:val="000000"/>
              </w:rPr>
              <w:t>74</w:t>
            </w:r>
          </w:p>
        </w:tc>
        <w:tc>
          <w:tcPr>
            <w:tcW w:w="1252" w:type="dxa"/>
            <w:tcBorders>
              <w:top w:val="nil"/>
              <w:left w:val="nil"/>
              <w:bottom w:val="nil"/>
              <w:right w:val="nil"/>
            </w:tcBorders>
            <w:shd w:val="clear" w:color="auto" w:fill="auto"/>
            <w:vAlign w:val="bottom"/>
          </w:tcPr>
          <w:p w14:paraId="7C5390C3" w14:textId="77777777" w:rsidR="009177AB" w:rsidRDefault="009177AB" w:rsidP="00F866EA">
            <w:pPr>
              <w:spacing w:after="0" w:line="240" w:lineRule="auto"/>
              <w:rPr>
                <w:color w:val="000000"/>
              </w:rPr>
            </w:pPr>
            <w:r>
              <w:rPr>
                <w:color w:val="000000"/>
              </w:rPr>
              <w:t>61</w:t>
            </w:r>
          </w:p>
        </w:tc>
        <w:tc>
          <w:tcPr>
            <w:tcW w:w="1302" w:type="dxa"/>
            <w:tcBorders>
              <w:top w:val="nil"/>
              <w:left w:val="nil"/>
              <w:bottom w:val="nil"/>
              <w:right w:val="nil"/>
            </w:tcBorders>
            <w:shd w:val="clear" w:color="auto" w:fill="auto"/>
            <w:vAlign w:val="bottom"/>
          </w:tcPr>
          <w:p w14:paraId="2CE590C3" w14:textId="77777777" w:rsidR="009177AB" w:rsidRDefault="009177AB" w:rsidP="00F866EA">
            <w:pPr>
              <w:spacing w:after="0" w:line="240" w:lineRule="auto"/>
              <w:rPr>
                <w:color w:val="000000"/>
              </w:rPr>
            </w:pPr>
            <w:r>
              <w:rPr>
                <w:color w:val="000000"/>
              </w:rPr>
              <w:t>22.66</w:t>
            </w:r>
          </w:p>
        </w:tc>
      </w:tr>
      <w:tr w:rsidR="009177AB" w14:paraId="5D48A983" w14:textId="77777777" w:rsidTr="00F866EA">
        <w:trPr>
          <w:trHeight w:val="280"/>
        </w:trPr>
        <w:tc>
          <w:tcPr>
            <w:tcW w:w="2028" w:type="dxa"/>
            <w:tcBorders>
              <w:top w:val="nil"/>
              <w:left w:val="nil"/>
              <w:bottom w:val="nil"/>
              <w:right w:val="nil"/>
            </w:tcBorders>
            <w:shd w:val="clear" w:color="auto" w:fill="auto"/>
            <w:vAlign w:val="bottom"/>
          </w:tcPr>
          <w:p w14:paraId="60C99FFD" w14:textId="77777777" w:rsidR="009177AB" w:rsidRDefault="009177AB" w:rsidP="00F866EA">
            <w:pPr>
              <w:spacing w:after="0" w:line="240" w:lineRule="auto"/>
              <w:jc w:val="left"/>
              <w:rPr>
                <w:color w:val="000000"/>
              </w:rPr>
            </w:pPr>
            <w:r>
              <w:rPr>
                <w:color w:val="000000"/>
              </w:rPr>
              <w:t>Philippines</w:t>
            </w:r>
          </w:p>
        </w:tc>
        <w:tc>
          <w:tcPr>
            <w:tcW w:w="1828" w:type="dxa"/>
            <w:tcBorders>
              <w:top w:val="nil"/>
              <w:left w:val="nil"/>
              <w:bottom w:val="nil"/>
              <w:right w:val="nil"/>
            </w:tcBorders>
            <w:shd w:val="clear" w:color="auto" w:fill="auto"/>
            <w:vAlign w:val="bottom"/>
          </w:tcPr>
          <w:p w14:paraId="320B99A2"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nil"/>
              <w:right w:val="nil"/>
            </w:tcBorders>
            <w:shd w:val="clear" w:color="auto" w:fill="auto"/>
            <w:vAlign w:val="bottom"/>
          </w:tcPr>
          <w:p w14:paraId="0211A4D6" w14:textId="77777777" w:rsidR="009177AB" w:rsidRDefault="009177AB" w:rsidP="00F866EA">
            <w:pPr>
              <w:spacing w:after="0" w:line="240" w:lineRule="auto"/>
              <w:rPr>
                <w:color w:val="000000"/>
              </w:rPr>
            </w:pPr>
            <w:r>
              <w:rPr>
                <w:color w:val="000000"/>
              </w:rPr>
              <w:t>337</w:t>
            </w:r>
          </w:p>
        </w:tc>
        <w:tc>
          <w:tcPr>
            <w:tcW w:w="1252" w:type="dxa"/>
            <w:tcBorders>
              <w:top w:val="nil"/>
              <w:left w:val="nil"/>
              <w:bottom w:val="nil"/>
              <w:right w:val="nil"/>
            </w:tcBorders>
            <w:shd w:val="clear" w:color="auto" w:fill="auto"/>
            <w:vAlign w:val="bottom"/>
          </w:tcPr>
          <w:p w14:paraId="79ED5611" w14:textId="77777777" w:rsidR="009177AB" w:rsidRDefault="009177AB" w:rsidP="00F866EA">
            <w:pPr>
              <w:spacing w:after="0" w:line="240" w:lineRule="auto"/>
              <w:rPr>
                <w:color w:val="000000"/>
              </w:rPr>
            </w:pPr>
            <w:r>
              <w:rPr>
                <w:color w:val="000000"/>
              </w:rPr>
              <w:t>68</w:t>
            </w:r>
          </w:p>
        </w:tc>
        <w:tc>
          <w:tcPr>
            <w:tcW w:w="1302" w:type="dxa"/>
            <w:tcBorders>
              <w:top w:val="nil"/>
              <w:left w:val="nil"/>
              <w:bottom w:val="nil"/>
              <w:right w:val="nil"/>
            </w:tcBorders>
            <w:shd w:val="clear" w:color="auto" w:fill="auto"/>
            <w:vAlign w:val="bottom"/>
          </w:tcPr>
          <w:p w14:paraId="210BD074" w14:textId="77777777" w:rsidR="009177AB" w:rsidRDefault="009177AB" w:rsidP="00F866EA">
            <w:pPr>
              <w:spacing w:after="0" w:line="240" w:lineRule="auto"/>
              <w:rPr>
                <w:color w:val="000000"/>
              </w:rPr>
            </w:pPr>
            <w:r>
              <w:rPr>
                <w:color w:val="000000"/>
              </w:rPr>
              <w:t>19.69</w:t>
            </w:r>
          </w:p>
        </w:tc>
      </w:tr>
      <w:tr w:rsidR="009177AB" w14:paraId="41CB7C94" w14:textId="77777777" w:rsidTr="00F866EA">
        <w:trPr>
          <w:trHeight w:val="280"/>
        </w:trPr>
        <w:tc>
          <w:tcPr>
            <w:tcW w:w="2028" w:type="dxa"/>
            <w:tcBorders>
              <w:top w:val="nil"/>
              <w:left w:val="nil"/>
              <w:bottom w:val="nil"/>
              <w:right w:val="nil"/>
            </w:tcBorders>
            <w:shd w:val="clear" w:color="auto" w:fill="auto"/>
            <w:vAlign w:val="bottom"/>
          </w:tcPr>
          <w:p w14:paraId="479BE958" w14:textId="77777777" w:rsidR="009177AB" w:rsidRDefault="009177AB" w:rsidP="00F866EA">
            <w:pPr>
              <w:spacing w:after="0" w:line="240" w:lineRule="auto"/>
              <w:jc w:val="left"/>
              <w:rPr>
                <w:color w:val="000000"/>
              </w:rPr>
            </w:pPr>
            <w:r>
              <w:rPr>
                <w:color w:val="000000"/>
              </w:rPr>
              <w:t>Poland</w:t>
            </w:r>
          </w:p>
        </w:tc>
        <w:tc>
          <w:tcPr>
            <w:tcW w:w="1828" w:type="dxa"/>
            <w:tcBorders>
              <w:top w:val="nil"/>
              <w:left w:val="nil"/>
              <w:bottom w:val="nil"/>
              <w:right w:val="nil"/>
            </w:tcBorders>
            <w:shd w:val="clear" w:color="auto" w:fill="auto"/>
            <w:vAlign w:val="bottom"/>
          </w:tcPr>
          <w:p w14:paraId="4353BE3E"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7EB6323A" w14:textId="77777777" w:rsidR="009177AB" w:rsidRDefault="009177AB" w:rsidP="00F866EA">
            <w:pPr>
              <w:spacing w:after="0" w:line="240" w:lineRule="auto"/>
              <w:rPr>
                <w:color w:val="000000"/>
              </w:rPr>
            </w:pPr>
            <w:r>
              <w:rPr>
                <w:color w:val="000000"/>
              </w:rPr>
              <w:t>234</w:t>
            </w:r>
          </w:p>
        </w:tc>
        <w:tc>
          <w:tcPr>
            <w:tcW w:w="1252" w:type="dxa"/>
            <w:tcBorders>
              <w:top w:val="nil"/>
              <w:left w:val="nil"/>
              <w:bottom w:val="nil"/>
              <w:right w:val="nil"/>
            </w:tcBorders>
            <w:shd w:val="clear" w:color="auto" w:fill="auto"/>
            <w:vAlign w:val="bottom"/>
          </w:tcPr>
          <w:p w14:paraId="2EB1D5E1" w14:textId="77777777" w:rsidR="009177AB" w:rsidRDefault="009177AB" w:rsidP="00F866EA">
            <w:pPr>
              <w:spacing w:after="0" w:line="240" w:lineRule="auto"/>
              <w:rPr>
                <w:color w:val="000000"/>
              </w:rPr>
            </w:pPr>
            <w:r>
              <w:rPr>
                <w:color w:val="000000"/>
              </w:rPr>
              <w:t>83</w:t>
            </w:r>
          </w:p>
        </w:tc>
        <w:tc>
          <w:tcPr>
            <w:tcW w:w="1302" w:type="dxa"/>
            <w:tcBorders>
              <w:top w:val="nil"/>
              <w:left w:val="nil"/>
              <w:bottom w:val="nil"/>
              <w:right w:val="nil"/>
            </w:tcBorders>
            <w:shd w:val="clear" w:color="auto" w:fill="auto"/>
            <w:vAlign w:val="bottom"/>
          </w:tcPr>
          <w:p w14:paraId="7766E77C" w14:textId="77777777" w:rsidR="009177AB" w:rsidRDefault="009177AB" w:rsidP="00F866EA">
            <w:pPr>
              <w:spacing w:after="0" w:line="240" w:lineRule="auto"/>
              <w:rPr>
                <w:color w:val="000000"/>
              </w:rPr>
            </w:pPr>
            <w:r>
              <w:rPr>
                <w:color w:val="000000"/>
              </w:rPr>
              <w:t>22.35</w:t>
            </w:r>
          </w:p>
        </w:tc>
      </w:tr>
      <w:tr w:rsidR="009177AB" w14:paraId="13FA4CBE" w14:textId="77777777" w:rsidTr="00F866EA">
        <w:trPr>
          <w:trHeight w:val="280"/>
        </w:trPr>
        <w:tc>
          <w:tcPr>
            <w:tcW w:w="2028" w:type="dxa"/>
            <w:tcBorders>
              <w:top w:val="nil"/>
              <w:left w:val="nil"/>
              <w:bottom w:val="nil"/>
              <w:right w:val="nil"/>
            </w:tcBorders>
            <w:shd w:val="clear" w:color="auto" w:fill="auto"/>
            <w:vAlign w:val="bottom"/>
          </w:tcPr>
          <w:p w14:paraId="36770F69" w14:textId="77777777" w:rsidR="009177AB" w:rsidRDefault="009177AB" w:rsidP="00F866EA">
            <w:pPr>
              <w:spacing w:after="0" w:line="240" w:lineRule="auto"/>
              <w:jc w:val="left"/>
              <w:rPr>
                <w:color w:val="000000"/>
              </w:rPr>
            </w:pPr>
            <w:r>
              <w:rPr>
                <w:color w:val="000000"/>
              </w:rPr>
              <w:t>Portugal</w:t>
            </w:r>
          </w:p>
        </w:tc>
        <w:tc>
          <w:tcPr>
            <w:tcW w:w="1828" w:type="dxa"/>
            <w:tcBorders>
              <w:top w:val="nil"/>
              <w:left w:val="nil"/>
              <w:bottom w:val="nil"/>
              <w:right w:val="nil"/>
            </w:tcBorders>
            <w:shd w:val="clear" w:color="auto" w:fill="auto"/>
            <w:vAlign w:val="bottom"/>
          </w:tcPr>
          <w:p w14:paraId="1096FA3A"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0B0A36B3" w14:textId="77777777" w:rsidR="009177AB" w:rsidRDefault="009177AB" w:rsidP="00F866EA">
            <w:pPr>
              <w:spacing w:after="0" w:line="240" w:lineRule="auto"/>
              <w:rPr>
                <w:color w:val="000000"/>
              </w:rPr>
            </w:pPr>
            <w:r>
              <w:rPr>
                <w:color w:val="000000"/>
              </w:rPr>
              <w:t>157</w:t>
            </w:r>
          </w:p>
        </w:tc>
        <w:tc>
          <w:tcPr>
            <w:tcW w:w="1252" w:type="dxa"/>
            <w:tcBorders>
              <w:top w:val="nil"/>
              <w:left w:val="nil"/>
              <w:bottom w:val="nil"/>
              <w:right w:val="nil"/>
            </w:tcBorders>
            <w:shd w:val="clear" w:color="auto" w:fill="auto"/>
            <w:vAlign w:val="bottom"/>
          </w:tcPr>
          <w:p w14:paraId="21E12A46" w14:textId="77777777" w:rsidR="009177AB" w:rsidRDefault="009177AB" w:rsidP="00F866EA">
            <w:pPr>
              <w:spacing w:after="0" w:line="240" w:lineRule="auto"/>
              <w:rPr>
                <w:color w:val="000000"/>
              </w:rPr>
            </w:pPr>
            <w:r>
              <w:rPr>
                <w:color w:val="000000"/>
              </w:rPr>
              <w:t>87</w:t>
            </w:r>
          </w:p>
        </w:tc>
        <w:tc>
          <w:tcPr>
            <w:tcW w:w="1302" w:type="dxa"/>
            <w:tcBorders>
              <w:top w:val="nil"/>
              <w:left w:val="nil"/>
              <w:bottom w:val="nil"/>
              <w:right w:val="nil"/>
            </w:tcBorders>
            <w:shd w:val="clear" w:color="auto" w:fill="auto"/>
            <w:vAlign w:val="bottom"/>
          </w:tcPr>
          <w:p w14:paraId="561F9093" w14:textId="77777777" w:rsidR="009177AB" w:rsidRDefault="009177AB" w:rsidP="00F866EA">
            <w:pPr>
              <w:spacing w:after="0" w:line="240" w:lineRule="auto"/>
              <w:rPr>
                <w:color w:val="000000"/>
              </w:rPr>
            </w:pPr>
            <w:r>
              <w:rPr>
                <w:color w:val="000000"/>
              </w:rPr>
              <w:t>21.77</w:t>
            </w:r>
          </w:p>
        </w:tc>
      </w:tr>
      <w:tr w:rsidR="009177AB" w14:paraId="5739AFFC" w14:textId="77777777" w:rsidTr="00F866EA">
        <w:trPr>
          <w:trHeight w:val="280"/>
        </w:trPr>
        <w:tc>
          <w:tcPr>
            <w:tcW w:w="2028" w:type="dxa"/>
            <w:tcBorders>
              <w:top w:val="nil"/>
              <w:left w:val="nil"/>
              <w:bottom w:val="nil"/>
              <w:right w:val="nil"/>
            </w:tcBorders>
            <w:shd w:val="clear" w:color="auto" w:fill="auto"/>
            <w:vAlign w:val="bottom"/>
          </w:tcPr>
          <w:p w14:paraId="045ED9BD" w14:textId="77777777" w:rsidR="009177AB" w:rsidRDefault="009177AB" w:rsidP="00F866EA">
            <w:pPr>
              <w:spacing w:after="0" w:line="240" w:lineRule="auto"/>
              <w:jc w:val="left"/>
              <w:rPr>
                <w:color w:val="000000"/>
              </w:rPr>
            </w:pPr>
            <w:r>
              <w:rPr>
                <w:color w:val="000000"/>
              </w:rPr>
              <w:t>Romania</w:t>
            </w:r>
          </w:p>
        </w:tc>
        <w:tc>
          <w:tcPr>
            <w:tcW w:w="1828" w:type="dxa"/>
            <w:tcBorders>
              <w:top w:val="nil"/>
              <w:left w:val="nil"/>
              <w:bottom w:val="nil"/>
              <w:right w:val="nil"/>
            </w:tcBorders>
            <w:shd w:val="clear" w:color="auto" w:fill="auto"/>
            <w:vAlign w:val="bottom"/>
          </w:tcPr>
          <w:p w14:paraId="45D3CA6D"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69099C39" w14:textId="77777777" w:rsidR="009177AB" w:rsidRDefault="009177AB" w:rsidP="00F866EA">
            <w:pPr>
              <w:spacing w:after="0" w:line="240" w:lineRule="auto"/>
              <w:rPr>
                <w:color w:val="000000"/>
              </w:rPr>
            </w:pPr>
            <w:r>
              <w:rPr>
                <w:color w:val="000000"/>
              </w:rPr>
              <w:t>177</w:t>
            </w:r>
          </w:p>
        </w:tc>
        <w:tc>
          <w:tcPr>
            <w:tcW w:w="1252" w:type="dxa"/>
            <w:tcBorders>
              <w:top w:val="nil"/>
              <w:left w:val="nil"/>
              <w:bottom w:val="nil"/>
              <w:right w:val="nil"/>
            </w:tcBorders>
            <w:shd w:val="clear" w:color="auto" w:fill="auto"/>
            <w:vAlign w:val="bottom"/>
          </w:tcPr>
          <w:p w14:paraId="30BB34BD" w14:textId="77777777" w:rsidR="009177AB" w:rsidRDefault="009177AB" w:rsidP="00F866EA">
            <w:pPr>
              <w:spacing w:after="0" w:line="240" w:lineRule="auto"/>
              <w:rPr>
                <w:color w:val="000000"/>
              </w:rPr>
            </w:pPr>
            <w:r>
              <w:rPr>
                <w:color w:val="000000"/>
              </w:rPr>
              <w:t>57</w:t>
            </w:r>
          </w:p>
        </w:tc>
        <w:tc>
          <w:tcPr>
            <w:tcW w:w="1302" w:type="dxa"/>
            <w:tcBorders>
              <w:top w:val="nil"/>
              <w:left w:val="nil"/>
              <w:bottom w:val="nil"/>
              <w:right w:val="nil"/>
            </w:tcBorders>
            <w:shd w:val="clear" w:color="auto" w:fill="auto"/>
            <w:vAlign w:val="bottom"/>
          </w:tcPr>
          <w:p w14:paraId="18E2FE12" w14:textId="77777777" w:rsidR="009177AB" w:rsidRDefault="009177AB" w:rsidP="00F866EA">
            <w:pPr>
              <w:spacing w:after="0" w:line="240" w:lineRule="auto"/>
              <w:rPr>
                <w:color w:val="000000"/>
              </w:rPr>
            </w:pPr>
            <w:r>
              <w:rPr>
                <w:color w:val="000000"/>
              </w:rPr>
              <w:t>22.84</w:t>
            </w:r>
          </w:p>
        </w:tc>
      </w:tr>
      <w:tr w:rsidR="009177AB" w14:paraId="1597DCD3" w14:textId="77777777" w:rsidTr="00F866EA">
        <w:trPr>
          <w:trHeight w:val="280"/>
        </w:trPr>
        <w:tc>
          <w:tcPr>
            <w:tcW w:w="2028" w:type="dxa"/>
            <w:tcBorders>
              <w:top w:val="nil"/>
              <w:left w:val="nil"/>
              <w:bottom w:val="nil"/>
              <w:right w:val="nil"/>
            </w:tcBorders>
            <w:shd w:val="clear" w:color="auto" w:fill="auto"/>
            <w:vAlign w:val="bottom"/>
          </w:tcPr>
          <w:p w14:paraId="5B214045" w14:textId="77777777" w:rsidR="009177AB" w:rsidRDefault="009177AB" w:rsidP="00F866EA">
            <w:pPr>
              <w:spacing w:after="0" w:line="240" w:lineRule="auto"/>
              <w:jc w:val="left"/>
              <w:rPr>
                <w:color w:val="000000"/>
              </w:rPr>
            </w:pPr>
            <w:r>
              <w:rPr>
                <w:color w:val="000000"/>
              </w:rPr>
              <w:t>Russia</w:t>
            </w:r>
          </w:p>
        </w:tc>
        <w:tc>
          <w:tcPr>
            <w:tcW w:w="1828" w:type="dxa"/>
            <w:tcBorders>
              <w:top w:val="nil"/>
              <w:left w:val="nil"/>
              <w:bottom w:val="nil"/>
              <w:right w:val="nil"/>
            </w:tcBorders>
            <w:shd w:val="clear" w:color="auto" w:fill="auto"/>
            <w:vAlign w:val="bottom"/>
          </w:tcPr>
          <w:p w14:paraId="25AB7C39"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3EC9526D" w14:textId="77777777" w:rsidR="009177AB" w:rsidRDefault="009177AB" w:rsidP="00F866EA">
            <w:pPr>
              <w:spacing w:after="0" w:line="240" w:lineRule="auto"/>
              <w:rPr>
                <w:color w:val="000000"/>
              </w:rPr>
            </w:pPr>
            <w:r>
              <w:rPr>
                <w:color w:val="000000"/>
              </w:rPr>
              <w:t>159</w:t>
            </w:r>
          </w:p>
        </w:tc>
        <w:tc>
          <w:tcPr>
            <w:tcW w:w="1252" w:type="dxa"/>
            <w:tcBorders>
              <w:top w:val="nil"/>
              <w:left w:val="nil"/>
              <w:bottom w:val="nil"/>
              <w:right w:val="nil"/>
            </w:tcBorders>
            <w:shd w:val="clear" w:color="auto" w:fill="auto"/>
            <w:vAlign w:val="bottom"/>
          </w:tcPr>
          <w:p w14:paraId="4C6BF085" w14:textId="77777777" w:rsidR="009177AB" w:rsidRDefault="009177AB" w:rsidP="00F866EA">
            <w:pPr>
              <w:spacing w:after="0" w:line="240" w:lineRule="auto"/>
              <w:rPr>
                <w:color w:val="000000"/>
              </w:rPr>
            </w:pPr>
            <w:r>
              <w:rPr>
                <w:color w:val="000000"/>
              </w:rPr>
              <w:t>78</w:t>
            </w:r>
          </w:p>
        </w:tc>
        <w:tc>
          <w:tcPr>
            <w:tcW w:w="1302" w:type="dxa"/>
            <w:tcBorders>
              <w:top w:val="nil"/>
              <w:left w:val="nil"/>
              <w:bottom w:val="nil"/>
              <w:right w:val="nil"/>
            </w:tcBorders>
            <w:shd w:val="clear" w:color="auto" w:fill="auto"/>
            <w:vAlign w:val="bottom"/>
          </w:tcPr>
          <w:p w14:paraId="63F6FEBF" w14:textId="77777777" w:rsidR="009177AB" w:rsidRDefault="009177AB" w:rsidP="00F866EA">
            <w:pPr>
              <w:spacing w:after="0" w:line="240" w:lineRule="auto"/>
              <w:rPr>
                <w:color w:val="000000"/>
              </w:rPr>
            </w:pPr>
            <w:r>
              <w:rPr>
                <w:color w:val="000000"/>
              </w:rPr>
              <w:t>21.90</w:t>
            </w:r>
          </w:p>
        </w:tc>
      </w:tr>
      <w:tr w:rsidR="009177AB" w14:paraId="0D2A5200" w14:textId="77777777" w:rsidTr="00F866EA">
        <w:trPr>
          <w:trHeight w:val="280"/>
        </w:trPr>
        <w:tc>
          <w:tcPr>
            <w:tcW w:w="2028" w:type="dxa"/>
            <w:tcBorders>
              <w:top w:val="nil"/>
              <w:left w:val="nil"/>
              <w:bottom w:val="nil"/>
              <w:right w:val="nil"/>
            </w:tcBorders>
            <w:shd w:val="clear" w:color="auto" w:fill="auto"/>
            <w:vAlign w:val="bottom"/>
          </w:tcPr>
          <w:p w14:paraId="7DFF52A8" w14:textId="77777777" w:rsidR="009177AB" w:rsidRDefault="009177AB" w:rsidP="00F866EA">
            <w:pPr>
              <w:spacing w:after="0" w:line="240" w:lineRule="auto"/>
              <w:jc w:val="left"/>
              <w:rPr>
                <w:color w:val="000000"/>
              </w:rPr>
            </w:pPr>
            <w:r>
              <w:rPr>
                <w:color w:val="000000"/>
              </w:rPr>
              <w:t>Senegal</w:t>
            </w:r>
          </w:p>
        </w:tc>
        <w:tc>
          <w:tcPr>
            <w:tcW w:w="1828" w:type="dxa"/>
            <w:tcBorders>
              <w:top w:val="nil"/>
              <w:left w:val="nil"/>
              <w:bottom w:val="nil"/>
              <w:right w:val="nil"/>
            </w:tcBorders>
            <w:shd w:val="clear" w:color="auto" w:fill="auto"/>
            <w:vAlign w:val="bottom"/>
          </w:tcPr>
          <w:p w14:paraId="4712E63A" w14:textId="77777777" w:rsidR="009177AB" w:rsidRDefault="009177AB" w:rsidP="00F866EA">
            <w:pPr>
              <w:spacing w:after="0" w:line="240" w:lineRule="auto"/>
              <w:jc w:val="left"/>
              <w:rPr>
                <w:color w:val="000000"/>
              </w:rPr>
            </w:pPr>
            <w:r>
              <w:rPr>
                <w:color w:val="000000"/>
              </w:rPr>
              <w:t>Africa</w:t>
            </w:r>
          </w:p>
        </w:tc>
        <w:tc>
          <w:tcPr>
            <w:tcW w:w="1202" w:type="dxa"/>
            <w:tcBorders>
              <w:top w:val="nil"/>
              <w:left w:val="nil"/>
              <w:bottom w:val="nil"/>
              <w:right w:val="nil"/>
            </w:tcBorders>
            <w:shd w:val="clear" w:color="auto" w:fill="auto"/>
            <w:vAlign w:val="bottom"/>
          </w:tcPr>
          <w:p w14:paraId="3B1707D4" w14:textId="77777777" w:rsidR="009177AB" w:rsidRDefault="009177AB" w:rsidP="00F866EA">
            <w:pPr>
              <w:spacing w:after="0" w:line="240" w:lineRule="auto"/>
              <w:rPr>
                <w:color w:val="000000"/>
              </w:rPr>
            </w:pPr>
            <w:r>
              <w:rPr>
                <w:color w:val="000000"/>
              </w:rPr>
              <w:t>635</w:t>
            </w:r>
          </w:p>
        </w:tc>
        <w:tc>
          <w:tcPr>
            <w:tcW w:w="1252" w:type="dxa"/>
            <w:tcBorders>
              <w:top w:val="nil"/>
              <w:left w:val="nil"/>
              <w:bottom w:val="nil"/>
              <w:right w:val="nil"/>
            </w:tcBorders>
            <w:shd w:val="clear" w:color="auto" w:fill="auto"/>
            <w:vAlign w:val="bottom"/>
          </w:tcPr>
          <w:p w14:paraId="7D9411CD" w14:textId="77777777" w:rsidR="009177AB" w:rsidRDefault="009177AB" w:rsidP="00F866EA">
            <w:pPr>
              <w:spacing w:after="0" w:line="240" w:lineRule="auto"/>
              <w:rPr>
                <w:color w:val="000000"/>
              </w:rPr>
            </w:pPr>
            <w:r>
              <w:rPr>
                <w:color w:val="000000"/>
              </w:rPr>
              <w:t>47</w:t>
            </w:r>
          </w:p>
        </w:tc>
        <w:tc>
          <w:tcPr>
            <w:tcW w:w="1302" w:type="dxa"/>
            <w:tcBorders>
              <w:top w:val="nil"/>
              <w:left w:val="nil"/>
              <w:bottom w:val="nil"/>
              <w:right w:val="nil"/>
            </w:tcBorders>
            <w:shd w:val="clear" w:color="auto" w:fill="auto"/>
            <w:vAlign w:val="bottom"/>
          </w:tcPr>
          <w:p w14:paraId="347BD1BF" w14:textId="77777777" w:rsidR="009177AB" w:rsidRDefault="009177AB" w:rsidP="00F866EA">
            <w:pPr>
              <w:spacing w:after="0" w:line="240" w:lineRule="auto"/>
              <w:rPr>
                <w:color w:val="000000"/>
              </w:rPr>
            </w:pPr>
            <w:r>
              <w:rPr>
                <w:color w:val="000000"/>
              </w:rPr>
              <w:t>23.31</w:t>
            </w:r>
          </w:p>
        </w:tc>
      </w:tr>
      <w:tr w:rsidR="009177AB" w14:paraId="6C457A34" w14:textId="77777777" w:rsidTr="00F866EA">
        <w:trPr>
          <w:trHeight w:val="280"/>
        </w:trPr>
        <w:tc>
          <w:tcPr>
            <w:tcW w:w="2028" w:type="dxa"/>
            <w:tcBorders>
              <w:top w:val="nil"/>
              <w:left w:val="nil"/>
              <w:bottom w:val="nil"/>
              <w:right w:val="nil"/>
            </w:tcBorders>
            <w:shd w:val="clear" w:color="auto" w:fill="auto"/>
            <w:vAlign w:val="bottom"/>
          </w:tcPr>
          <w:p w14:paraId="2B9873A9" w14:textId="77777777" w:rsidR="009177AB" w:rsidRDefault="009177AB" w:rsidP="00F866EA">
            <w:pPr>
              <w:spacing w:after="0" w:line="240" w:lineRule="auto"/>
              <w:jc w:val="left"/>
              <w:rPr>
                <w:color w:val="000000"/>
              </w:rPr>
            </w:pPr>
            <w:r>
              <w:rPr>
                <w:color w:val="000000"/>
              </w:rPr>
              <w:t>Serbia</w:t>
            </w:r>
          </w:p>
        </w:tc>
        <w:tc>
          <w:tcPr>
            <w:tcW w:w="1828" w:type="dxa"/>
            <w:tcBorders>
              <w:top w:val="nil"/>
              <w:left w:val="nil"/>
              <w:bottom w:val="nil"/>
              <w:right w:val="nil"/>
            </w:tcBorders>
            <w:shd w:val="clear" w:color="auto" w:fill="auto"/>
            <w:vAlign w:val="bottom"/>
          </w:tcPr>
          <w:p w14:paraId="1299F3F0"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372FF3FD" w14:textId="77777777" w:rsidR="009177AB" w:rsidRDefault="009177AB" w:rsidP="00F866EA">
            <w:pPr>
              <w:spacing w:after="0" w:line="240" w:lineRule="auto"/>
              <w:rPr>
                <w:color w:val="000000"/>
              </w:rPr>
            </w:pPr>
            <w:r>
              <w:rPr>
                <w:color w:val="000000"/>
              </w:rPr>
              <w:t>185</w:t>
            </w:r>
          </w:p>
        </w:tc>
        <w:tc>
          <w:tcPr>
            <w:tcW w:w="1252" w:type="dxa"/>
            <w:tcBorders>
              <w:top w:val="nil"/>
              <w:left w:val="nil"/>
              <w:bottom w:val="nil"/>
              <w:right w:val="nil"/>
            </w:tcBorders>
            <w:shd w:val="clear" w:color="auto" w:fill="auto"/>
            <w:vAlign w:val="bottom"/>
          </w:tcPr>
          <w:p w14:paraId="45AFF46C" w14:textId="77777777" w:rsidR="009177AB" w:rsidRDefault="009177AB" w:rsidP="00F866EA">
            <w:pPr>
              <w:spacing w:after="0" w:line="240" w:lineRule="auto"/>
              <w:rPr>
                <w:color w:val="000000"/>
              </w:rPr>
            </w:pPr>
            <w:r>
              <w:rPr>
                <w:color w:val="000000"/>
              </w:rPr>
              <w:t>86</w:t>
            </w:r>
          </w:p>
        </w:tc>
        <w:tc>
          <w:tcPr>
            <w:tcW w:w="1302" w:type="dxa"/>
            <w:tcBorders>
              <w:top w:val="nil"/>
              <w:left w:val="nil"/>
              <w:bottom w:val="nil"/>
              <w:right w:val="nil"/>
            </w:tcBorders>
            <w:shd w:val="clear" w:color="auto" w:fill="auto"/>
            <w:vAlign w:val="bottom"/>
          </w:tcPr>
          <w:p w14:paraId="0A409FF7" w14:textId="77777777" w:rsidR="009177AB" w:rsidRDefault="009177AB" w:rsidP="00F866EA">
            <w:pPr>
              <w:spacing w:after="0" w:line="240" w:lineRule="auto"/>
              <w:rPr>
                <w:color w:val="000000"/>
              </w:rPr>
            </w:pPr>
            <w:r>
              <w:rPr>
                <w:color w:val="000000"/>
              </w:rPr>
              <w:t>19.72</w:t>
            </w:r>
          </w:p>
        </w:tc>
      </w:tr>
      <w:tr w:rsidR="009177AB" w14:paraId="78B49607" w14:textId="77777777" w:rsidTr="00F866EA">
        <w:trPr>
          <w:trHeight w:val="280"/>
        </w:trPr>
        <w:tc>
          <w:tcPr>
            <w:tcW w:w="2028" w:type="dxa"/>
            <w:tcBorders>
              <w:top w:val="nil"/>
              <w:left w:val="nil"/>
              <w:bottom w:val="nil"/>
              <w:right w:val="nil"/>
            </w:tcBorders>
            <w:shd w:val="clear" w:color="auto" w:fill="auto"/>
            <w:vAlign w:val="bottom"/>
          </w:tcPr>
          <w:p w14:paraId="406E14ED" w14:textId="77777777" w:rsidR="009177AB" w:rsidRDefault="009177AB" w:rsidP="00F866EA">
            <w:pPr>
              <w:spacing w:after="0" w:line="240" w:lineRule="auto"/>
              <w:jc w:val="left"/>
              <w:rPr>
                <w:color w:val="000000"/>
              </w:rPr>
            </w:pPr>
            <w:r>
              <w:rPr>
                <w:color w:val="000000"/>
              </w:rPr>
              <w:t>Singapore</w:t>
            </w:r>
          </w:p>
        </w:tc>
        <w:tc>
          <w:tcPr>
            <w:tcW w:w="1828" w:type="dxa"/>
            <w:tcBorders>
              <w:top w:val="nil"/>
              <w:left w:val="nil"/>
              <w:bottom w:val="nil"/>
              <w:right w:val="nil"/>
            </w:tcBorders>
            <w:shd w:val="clear" w:color="auto" w:fill="auto"/>
            <w:vAlign w:val="bottom"/>
          </w:tcPr>
          <w:p w14:paraId="5A25A1A3"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nil"/>
              <w:right w:val="nil"/>
            </w:tcBorders>
            <w:shd w:val="clear" w:color="auto" w:fill="auto"/>
            <w:vAlign w:val="bottom"/>
          </w:tcPr>
          <w:p w14:paraId="70B6C660" w14:textId="77777777" w:rsidR="009177AB" w:rsidRDefault="009177AB" w:rsidP="00F866EA">
            <w:pPr>
              <w:spacing w:after="0" w:line="240" w:lineRule="auto"/>
              <w:rPr>
                <w:color w:val="000000"/>
              </w:rPr>
            </w:pPr>
            <w:r>
              <w:rPr>
                <w:color w:val="000000"/>
              </w:rPr>
              <w:t>136</w:t>
            </w:r>
          </w:p>
        </w:tc>
        <w:tc>
          <w:tcPr>
            <w:tcW w:w="1252" w:type="dxa"/>
            <w:tcBorders>
              <w:top w:val="nil"/>
              <w:left w:val="nil"/>
              <w:bottom w:val="nil"/>
              <w:right w:val="nil"/>
            </w:tcBorders>
            <w:shd w:val="clear" w:color="auto" w:fill="auto"/>
            <w:vAlign w:val="bottom"/>
          </w:tcPr>
          <w:p w14:paraId="2EE53AC0" w14:textId="77777777" w:rsidR="009177AB" w:rsidRDefault="009177AB" w:rsidP="00F866EA">
            <w:pPr>
              <w:spacing w:after="0" w:line="240" w:lineRule="auto"/>
              <w:rPr>
                <w:color w:val="000000"/>
              </w:rPr>
            </w:pPr>
            <w:r>
              <w:rPr>
                <w:color w:val="000000"/>
              </w:rPr>
              <w:t>78</w:t>
            </w:r>
          </w:p>
        </w:tc>
        <w:tc>
          <w:tcPr>
            <w:tcW w:w="1302" w:type="dxa"/>
            <w:tcBorders>
              <w:top w:val="nil"/>
              <w:left w:val="nil"/>
              <w:bottom w:val="nil"/>
              <w:right w:val="nil"/>
            </w:tcBorders>
            <w:shd w:val="clear" w:color="auto" w:fill="auto"/>
            <w:vAlign w:val="bottom"/>
          </w:tcPr>
          <w:p w14:paraId="2B0BA48E" w14:textId="77777777" w:rsidR="009177AB" w:rsidRDefault="009177AB" w:rsidP="00F866EA">
            <w:pPr>
              <w:spacing w:after="0" w:line="240" w:lineRule="auto"/>
              <w:rPr>
                <w:color w:val="000000"/>
              </w:rPr>
            </w:pPr>
            <w:r>
              <w:rPr>
                <w:color w:val="000000"/>
              </w:rPr>
              <w:t>20.93</w:t>
            </w:r>
          </w:p>
        </w:tc>
      </w:tr>
      <w:tr w:rsidR="009177AB" w14:paraId="7A2CA68A" w14:textId="77777777" w:rsidTr="00F866EA">
        <w:trPr>
          <w:trHeight w:val="280"/>
        </w:trPr>
        <w:tc>
          <w:tcPr>
            <w:tcW w:w="2028" w:type="dxa"/>
            <w:tcBorders>
              <w:top w:val="nil"/>
              <w:left w:val="nil"/>
              <w:bottom w:val="nil"/>
              <w:right w:val="nil"/>
            </w:tcBorders>
            <w:shd w:val="clear" w:color="auto" w:fill="auto"/>
            <w:vAlign w:val="bottom"/>
          </w:tcPr>
          <w:p w14:paraId="42EC7E75" w14:textId="77777777" w:rsidR="009177AB" w:rsidRDefault="009177AB" w:rsidP="00F866EA">
            <w:pPr>
              <w:spacing w:after="0" w:line="240" w:lineRule="auto"/>
              <w:jc w:val="left"/>
              <w:rPr>
                <w:color w:val="000000"/>
              </w:rPr>
            </w:pPr>
            <w:r>
              <w:rPr>
                <w:color w:val="000000"/>
              </w:rPr>
              <w:t>Slovakia</w:t>
            </w:r>
          </w:p>
        </w:tc>
        <w:tc>
          <w:tcPr>
            <w:tcW w:w="1828" w:type="dxa"/>
            <w:tcBorders>
              <w:top w:val="nil"/>
              <w:left w:val="nil"/>
              <w:bottom w:val="nil"/>
              <w:right w:val="nil"/>
            </w:tcBorders>
            <w:shd w:val="clear" w:color="auto" w:fill="auto"/>
            <w:vAlign w:val="bottom"/>
          </w:tcPr>
          <w:p w14:paraId="05BC2859"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1E6489A5" w14:textId="77777777" w:rsidR="009177AB" w:rsidRDefault="009177AB" w:rsidP="00F866EA">
            <w:pPr>
              <w:spacing w:after="0" w:line="240" w:lineRule="auto"/>
              <w:rPr>
                <w:color w:val="000000"/>
              </w:rPr>
            </w:pPr>
            <w:r>
              <w:rPr>
                <w:color w:val="000000"/>
              </w:rPr>
              <w:t>148</w:t>
            </w:r>
          </w:p>
        </w:tc>
        <w:tc>
          <w:tcPr>
            <w:tcW w:w="1252" w:type="dxa"/>
            <w:tcBorders>
              <w:top w:val="nil"/>
              <w:left w:val="nil"/>
              <w:bottom w:val="nil"/>
              <w:right w:val="nil"/>
            </w:tcBorders>
            <w:shd w:val="clear" w:color="auto" w:fill="auto"/>
            <w:vAlign w:val="bottom"/>
          </w:tcPr>
          <w:p w14:paraId="120131F9" w14:textId="77777777" w:rsidR="009177AB" w:rsidRDefault="009177AB" w:rsidP="00F866EA">
            <w:pPr>
              <w:spacing w:after="0" w:line="240" w:lineRule="auto"/>
              <w:rPr>
                <w:color w:val="000000"/>
              </w:rPr>
            </w:pPr>
            <w:r>
              <w:rPr>
                <w:color w:val="000000"/>
              </w:rPr>
              <w:t>70</w:t>
            </w:r>
          </w:p>
        </w:tc>
        <w:tc>
          <w:tcPr>
            <w:tcW w:w="1302" w:type="dxa"/>
            <w:tcBorders>
              <w:top w:val="nil"/>
              <w:left w:val="nil"/>
              <w:bottom w:val="nil"/>
              <w:right w:val="nil"/>
            </w:tcBorders>
            <w:shd w:val="clear" w:color="auto" w:fill="auto"/>
            <w:vAlign w:val="bottom"/>
          </w:tcPr>
          <w:p w14:paraId="52E6C551" w14:textId="77777777" w:rsidR="009177AB" w:rsidRDefault="009177AB" w:rsidP="00F866EA">
            <w:pPr>
              <w:spacing w:after="0" w:line="240" w:lineRule="auto"/>
              <w:rPr>
                <w:color w:val="000000"/>
              </w:rPr>
            </w:pPr>
            <w:r>
              <w:rPr>
                <w:color w:val="000000"/>
              </w:rPr>
              <w:t>22.41</w:t>
            </w:r>
          </w:p>
        </w:tc>
      </w:tr>
      <w:tr w:rsidR="009177AB" w14:paraId="3A9D0DAB" w14:textId="77777777" w:rsidTr="00F866EA">
        <w:trPr>
          <w:trHeight w:val="280"/>
        </w:trPr>
        <w:tc>
          <w:tcPr>
            <w:tcW w:w="2028" w:type="dxa"/>
            <w:tcBorders>
              <w:top w:val="nil"/>
              <w:left w:val="nil"/>
              <w:bottom w:val="nil"/>
              <w:right w:val="nil"/>
            </w:tcBorders>
            <w:shd w:val="clear" w:color="auto" w:fill="auto"/>
            <w:vAlign w:val="bottom"/>
          </w:tcPr>
          <w:p w14:paraId="1DFDEE7A" w14:textId="77777777" w:rsidR="009177AB" w:rsidRDefault="009177AB" w:rsidP="00F866EA">
            <w:pPr>
              <w:spacing w:after="0" w:line="240" w:lineRule="auto"/>
              <w:jc w:val="left"/>
              <w:rPr>
                <w:color w:val="000000"/>
              </w:rPr>
            </w:pPr>
            <w:r>
              <w:rPr>
                <w:color w:val="000000"/>
              </w:rPr>
              <w:t>Slovenia</w:t>
            </w:r>
          </w:p>
        </w:tc>
        <w:tc>
          <w:tcPr>
            <w:tcW w:w="1828" w:type="dxa"/>
            <w:tcBorders>
              <w:top w:val="nil"/>
              <w:left w:val="nil"/>
              <w:bottom w:val="nil"/>
              <w:right w:val="nil"/>
            </w:tcBorders>
            <w:shd w:val="clear" w:color="auto" w:fill="auto"/>
            <w:vAlign w:val="bottom"/>
          </w:tcPr>
          <w:p w14:paraId="31B278FE"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26D8645E" w14:textId="77777777" w:rsidR="009177AB" w:rsidRDefault="009177AB" w:rsidP="00F866EA">
            <w:pPr>
              <w:spacing w:after="0" w:line="240" w:lineRule="auto"/>
              <w:rPr>
                <w:color w:val="000000"/>
              </w:rPr>
            </w:pPr>
            <w:r>
              <w:rPr>
                <w:color w:val="000000"/>
              </w:rPr>
              <w:t>123</w:t>
            </w:r>
          </w:p>
        </w:tc>
        <w:tc>
          <w:tcPr>
            <w:tcW w:w="1252" w:type="dxa"/>
            <w:tcBorders>
              <w:top w:val="nil"/>
              <w:left w:val="nil"/>
              <w:bottom w:val="nil"/>
              <w:right w:val="nil"/>
            </w:tcBorders>
            <w:shd w:val="clear" w:color="auto" w:fill="auto"/>
            <w:vAlign w:val="bottom"/>
          </w:tcPr>
          <w:p w14:paraId="568F378C" w14:textId="77777777" w:rsidR="009177AB" w:rsidRDefault="009177AB" w:rsidP="00F866EA">
            <w:pPr>
              <w:spacing w:after="0" w:line="240" w:lineRule="auto"/>
              <w:rPr>
                <w:color w:val="000000"/>
              </w:rPr>
            </w:pPr>
            <w:r>
              <w:rPr>
                <w:color w:val="000000"/>
              </w:rPr>
              <w:t>57</w:t>
            </w:r>
          </w:p>
        </w:tc>
        <w:tc>
          <w:tcPr>
            <w:tcW w:w="1302" w:type="dxa"/>
            <w:tcBorders>
              <w:top w:val="nil"/>
              <w:left w:val="nil"/>
              <w:bottom w:val="nil"/>
              <w:right w:val="nil"/>
            </w:tcBorders>
            <w:shd w:val="clear" w:color="auto" w:fill="auto"/>
            <w:vAlign w:val="bottom"/>
          </w:tcPr>
          <w:p w14:paraId="4F52E80D" w14:textId="77777777" w:rsidR="009177AB" w:rsidRDefault="009177AB" w:rsidP="00F866EA">
            <w:pPr>
              <w:spacing w:after="0" w:line="240" w:lineRule="auto"/>
              <w:rPr>
                <w:color w:val="000000"/>
              </w:rPr>
            </w:pPr>
            <w:r>
              <w:rPr>
                <w:color w:val="000000"/>
              </w:rPr>
              <w:t>20.59</w:t>
            </w:r>
          </w:p>
        </w:tc>
      </w:tr>
      <w:tr w:rsidR="009177AB" w14:paraId="3939FC19" w14:textId="77777777" w:rsidTr="00F866EA">
        <w:trPr>
          <w:trHeight w:val="280"/>
        </w:trPr>
        <w:tc>
          <w:tcPr>
            <w:tcW w:w="2028" w:type="dxa"/>
            <w:tcBorders>
              <w:top w:val="nil"/>
              <w:left w:val="nil"/>
              <w:bottom w:val="nil"/>
              <w:right w:val="nil"/>
            </w:tcBorders>
            <w:shd w:val="clear" w:color="auto" w:fill="auto"/>
            <w:vAlign w:val="bottom"/>
          </w:tcPr>
          <w:p w14:paraId="362235E2" w14:textId="77777777" w:rsidR="009177AB" w:rsidRDefault="009177AB" w:rsidP="00F866EA">
            <w:pPr>
              <w:spacing w:after="0" w:line="240" w:lineRule="auto"/>
              <w:jc w:val="left"/>
              <w:rPr>
                <w:color w:val="000000"/>
              </w:rPr>
            </w:pPr>
            <w:r>
              <w:rPr>
                <w:color w:val="000000"/>
              </w:rPr>
              <w:t>South Africa</w:t>
            </w:r>
          </w:p>
        </w:tc>
        <w:tc>
          <w:tcPr>
            <w:tcW w:w="1828" w:type="dxa"/>
            <w:tcBorders>
              <w:top w:val="nil"/>
              <w:left w:val="nil"/>
              <w:bottom w:val="nil"/>
              <w:right w:val="nil"/>
            </w:tcBorders>
            <w:shd w:val="clear" w:color="auto" w:fill="auto"/>
            <w:vAlign w:val="bottom"/>
          </w:tcPr>
          <w:p w14:paraId="5979F3FE" w14:textId="77777777" w:rsidR="009177AB" w:rsidRDefault="009177AB" w:rsidP="00F866EA">
            <w:pPr>
              <w:spacing w:after="0" w:line="240" w:lineRule="auto"/>
              <w:jc w:val="left"/>
              <w:rPr>
                <w:color w:val="000000"/>
              </w:rPr>
            </w:pPr>
            <w:r>
              <w:rPr>
                <w:color w:val="000000"/>
              </w:rPr>
              <w:t>Africa</w:t>
            </w:r>
          </w:p>
        </w:tc>
        <w:tc>
          <w:tcPr>
            <w:tcW w:w="1202" w:type="dxa"/>
            <w:tcBorders>
              <w:top w:val="nil"/>
              <w:left w:val="nil"/>
              <w:bottom w:val="nil"/>
              <w:right w:val="nil"/>
            </w:tcBorders>
            <w:shd w:val="clear" w:color="auto" w:fill="auto"/>
            <w:vAlign w:val="bottom"/>
          </w:tcPr>
          <w:p w14:paraId="36924FC2" w14:textId="77777777" w:rsidR="009177AB" w:rsidRDefault="009177AB" w:rsidP="00F866EA">
            <w:pPr>
              <w:spacing w:after="0" w:line="240" w:lineRule="auto"/>
              <w:rPr>
                <w:color w:val="000000"/>
              </w:rPr>
            </w:pPr>
            <w:r>
              <w:rPr>
                <w:color w:val="000000"/>
              </w:rPr>
              <w:t>256</w:t>
            </w:r>
          </w:p>
        </w:tc>
        <w:tc>
          <w:tcPr>
            <w:tcW w:w="1252" w:type="dxa"/>
            <w:tcBorders>
              <w:top w:val="nil"/>
              <w:left w:val="nil"/>
              <w:bottom w:val="nil"/>
              <w:right w:val="nil"/>
            </w:tcBorders>
            <w:shd w:val="clear" w:color="auto" w:fill="auto"/>
            <w:vAlign w:val="bottom"/>
          </w:tcPr>
          <w:p w14:paraId="260AA251" w14:textId="77777777" w:rsidR="009177AB" w:rsidRDefault="009177AB" w:rsidP="00F866EA">
            <w:pPr>
              <w:spacing w:after="0" w:line="240" w:lineRule="auto"/>
              <w:rPr>
                <w:color w:val="000000"/>
              </w:rPr>
            </w:pPr>
            <w:r>
              <w:rPr>
                <w:color w:val="000000"/>
              </w:rPr>
              <w:t>66</w:t>
            </w:r>
          </w:p>
        </w:tc>
        <w:tc>
          <w:tcPr>
            <w:tcW w:w="1302" w:type="dxa"/>
            <w:tcBorders>
              <w:top w:val="nil"/>
              <w:left w:val="nil"/>
              <w:bottom w:val="nil"/>
              <w:right w:val="nil"/>
            </w:tcBorders>
            <w:shd w:val="clear" w:color="auto" w:fill="auto"/>
            <w:vAlign w:val="bottom"/>
          </w:tcPr>
          <w:p w14:paraId="0101B2EE" w14:textId="77777777" w:rsidR="009177AB" w:rsidRDefault="009177AB" w:rsidP="00F866EA">
            <w:pPr>
              <w:spacing w:after="0" w:line="240" w:lineRule="auto"/>
              <w:rPr>
                <w:color w:val="000000"/>
              </w:rPr>
            </w:pPr>
            <w:r>
              <w:rPr>
                <w:color w:val="000000"/>
              </w:rPr>
              <w:t>22.20</w:t>
            </w:r>
          </w:p>
        </w:tc>
      </w:tr>
      <w:tr w:rsidR="009177AB" w14:paraId="672B6C10" w14:textId="77777777" w:rsidTr="00F866EA">
        <w:trPr>
          <w:trHeight w:val="280"/>
        </w:trPr>
        <w:tc>
          <w:tcPr>
            <w:tcW w:w="2028" w:type="dxa"/>
            <w:tcBorders>
              <w:top w:val="nil"/>
              <w:left w:val="nil"/>
              <w:bottom w:val="nil"/>
              <w:right w:val="nil"/>
            </w:tcBorders>
            <w:shd w:val="clear" w:color="auto" w:fill="auto"/>
            <w:vAlign w:val="bottom"/>
          </w:tcPr>
          <w:p w14:paraId="0089284C" w14:textId="77777777" w:rsidR="009177AB" w:rsidRDefault="009177AB" w:rsidP="00F866EA">
            <w:pPr>
              <w:spacing w:after="0" w:line="240" w:lineRule="auto"/>
              <w:jc w:val="left"/>
              <w:rPr>
                <w:color w:val="000000"/>
              </w:rPr>
            </w:pPr>
            <w:r>
              <w:rPr>
                <w:color w:val="000000"/>
              </w:rPr>
              <w:t>South Korea</w:t>
            </w:r>
          </w:p>
        </w:tc>
        <w:tc>
          <w:tcPr>
            <w:tcW w:w="1828" w:type="dxa"/>
            <w:tcBorders>
              <w:top w:val="nil"/>
              <w:left w:val="nil"/>
              <w:bottom w:val="nil"/>
              <w:right w:val="nil"/>
            </w:tcBorders>
            <w:shd w:val="clear" w:color="auto" w:fill="auto"/>
            <w:vAlign w:val="bottom"/>
          </w:tcPr>
          <w:p w14:paraId="28DBA90D" w14:textId="77777777" w:rsidR="009177AB" w:rsidRDefault="009177AB" w:rsidP="00F866EA">
            <w:pPr>
              <w:spacing w:after="0" w:line="240" w:lineRule="auto"/>
              <w:jc w:val="left"/>
              <w:rPr>
                <w:color w:val="000000"/>
              </w:rPr>
            </w:pPr>
            <w:r>
              <w:rPr>
                <w:color w:val="000000"/>
              </w:rPr>
              <w:t>East Asia</w:t>
            </w:r>
          </w:p>
        </w:tc>
        <w:tc>
          <w:tcPr>
            <w:tcW w:w="1202" w:type="dxa"/>
            <w:tcBorders>
              <w:top w:val="nil"/>
              <w:left w:val="nil"/>
              <w:bottom w:val="nil"/>
              <w:right w:val="nil"/>
            </w:tcBorders>
            <w:shd w:val="clear" w:color="auto" w:fill="auto"/>
            <w:vAlign w:val="bottom"/>
          </w:tcPr>
          <w:p w14:paraId="0DF12F78" w14:textId="77777777" w:rsidR="009177AB" w:rsidRDefault="009177AB" w:rsidP="00F866EA">
            <w:pPr>
              <w:spacing w:after="0" w:line="240" w:lineRule="auto"/>
              <w:rPr>
                <w:color w:val="000000"/>
              </w:rPr>
            </w:pPr>
            <w:r>
              <w:rPr>
                <w:color w:val="000000"/>
              </w:rPr>
              <w:t>281</w:t>
            </w:r>
          </w:p>
        </w:tc>
        <w:tc>
          <w:tcPr>
            <w:tcW w:w="1252" w:type="dxa"/>
            <w:tcBorders>
              <w:top w:val="nil"/>
              <w:left w:val="nil"/>
              <w:bottom w:val="nil"/>
              <w:right w:val="nil"/>
            </w:tcBorders>
            <w:shd w:val="clear" w:color="auto" w:fill="auto"/>
            <w:vAlign w:val="bottom"/>
          </w:tcPr>
          <w:p w14:paraId="78B6C21B" w14:textId="77777777" w:rsidR="009177AB" w:rsidRDefault="009177AB" w:rsidP="00F866EA">
            <w:pPr>
              <w:spacing w:after="0" w:line="240" w:lineRule="auto"/>
              <w:rPr>
                <w:color w:val="000000"/>
              </w:rPr>
            </w:pPr>
            <w:r>
              <w:rPr>
                <w:color w:val="000000"/>
              </w:rPr>
              <w:t>58</w:t>
            </w:r>
          </w:p>
        </w:tc>
        <w:tc>
          <w:tcPr>
            <w:tcW w:w="1302" w:type="dxa"/>
            <w:tcBorders>
              <w:top w:val="nil"/>
              <w:left w:val="nil"/>
              <w:bottom w:val="nil"/>
              <w:right w:val="nil"/>
            </w:tcBorders>
            <w:shd w:val="clear" w:color="auto" w:fill="auto"/>
            <w:vAlign w:val="bottom"/>
          </w:tcPr>
          <w:p w14:paraId="16416E26" w14:textId="77777777" w:rsidR="009177AB" w:rsidRDefault="009177AB" w:rsidP="00F866EA">
            <w:pPr>
              <w:spacing w:after="0" w:line="240" w:lineRule="auto"/>
              <w:rPr>
                <w:color w:val="000000"/>
              </w:rPr>
            </w:pPr>
            <w:r>
              <w:rPr>
                <w:color w:val="000000"/>
              </w:rPr>
              <w:t>22.35</w:t>
            </w:r>
          </w:p>
        </w:tc>
      </w:tr>
      <w:tr w:rsidR="009177AB" w14:paraId="77C994DF" w14:textId="77777777" w:rsidTr="00F866EA">
        <w:trPr>
          <w:trHeight w:val="280"/>
        </w:trPr>
        <w:tc>
          <w:tcPr>
            <w:tcW w:w="2028" w:type="dxa"/>
            <w:tcBorders>
              <w:top w:val="nil"/>
              <w:left w:val="nil"/>
              <w:bottom w:val="nil"/>
              <w:right w:val="nil"/>
            </w:tcBorders>
            <w:shd w:val="clear" w:color="auto" w:fill="auto"/>
            <w:vAlign w:val="bottom"/>
          </w:tcPr>
          <w:p w14:paraId="07DD8DDD" w14:textId="77777777" w:rsidR="009177AB" w:rsidRDefault="009177AB" w:rsidP="00F866EA">
            <w:pPr>
              <w:spacing w:after="0" w:line="240" w:lineRule="auto"/>
              <w:jc w:val="left"/>
              <w:rPr>
                <w:color w:val="000000"/>
              </w:rPr>
            </w:pPr>
            <w:r>
              <w:rPr>
                <w:color w:val="000000"/>
              </w:rPr>
              <w:t>Spain</w:t>
            </w:r>
          </w:p>
        </w:tc>
        <w:tc>
          <w:tcPr>
            <w:tcW w:w="1828" w:type="dxa"/>
            <w:tcBorders>
              <w:top w:val="nil"/>
              <w:left w:val="nil"/>
              <w:bottom w:val="nil"/>
              <w:right w:val="nil"/>
            </w:tcBorders>
            <w:shd w:val="clear" w:color="auto" w:fill="auto"/>
            <w:vAlign w:val="bottom"/>
          </w:tcPr>
          <w:p w14:paraId="599807EA"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3874716D" w14:textId="77777777" w:rsidR="009177AB" w:rsidRDefault="009177AB" w:rsidP="00F866EA">
            <w:pPr>
              <w:spacing w:after="0" w:line="240" w:lineRule="auto"/>
              <w:rPr>
                <w:color w:val="000000"/>
              </w:rPr>
            </w:pPr>
            <w:r>
              <w:rPr>
                <w:color w:val="000000"/>
              </w:rPr>
              <w:t>419</w:t>
            </w:r>
          </w:p>
        </w:tc>
        <w:tc>
          <w:tcPr>
            <w:tcW w:w="1252" w:type="dxa"/>
            <w:tcBorders>
              <w:top w:val="nil"/>
              <w:left w:val="nil"/>
              <w:bottom w:val="nil"/>
              <w:right w:val="nil"/>
            </w:tcBorders>
            <w:shd w:val="clear" w:color="auto" w:fill="auto"/>
            <w:vAlign w:val="bottom"/>
          </w:tcPr>
          <w:p w14:paraId="66303F22" w14:textId="77777777" w:rsidR="009177AB" w:rsidRDefault="009177AB" w:rsidP="00F866EA">
            <w:pPr>
              <w:spacing w:after="0" w:line="240" w:lineRule="auto"/>
              <w:rPr>
                <w:color w:val="000000"/>
              </w:rPr>
            </w:pPr>
            <w:r>
              <w:rPr>
                <w:color w:val="000000"/>
              </w:rPr>
              <w:t>85</w:t>
            </w:r>
          </w:p>
        </w:tc>
        <w:tc>
          <w:tcPr>
            <w:tcW w:w="1302" w:type="dxa"/>
            <w:tcBorders>
              <w:top w:val="nil"/>
              <w:left w:val="nil"/>
              <w:bottom w:val="nil"/>
              <w:right w:val="nil"/>
            </w:tcBorders>
            <w:shd w:val="clear" w:color="auto" w:fill="auto"/>
            <w:vAlign w:val="bottom"/>
          </w:tcPr>
          <w:p w14:paraId="63F2E1B4" w14:textId="77777777" w:rsidR="009177AB" w:rsidRDefault="009177AB" w:rsidP="00F866EA">
            <w:pPr>
              <w:spacing w:after="0" w:line="240" w:lineRule="auto"/>
              <w:rPr>
                <w:color w:val="000000"/>
              </w:rPr>
            </w:pPr>
            <w:r>
              <w:rPr>
                <w:color w:val="000000"/>
              </w:rPr>
              <w:t>19.73</w:t>
            </w:r>
          </w:p>
        </w:tc>
      </w:tr>
      <w:tr w:rsidR="009177AB" w14:paraId="655F9795" w14:textId="77777777" w:rsidTr="00F866EA">
        <w:trPr>
          <w:trHeight w:val="280"/>
        </w:trPr>
        <w:tc>
          <w:tcPr>
            <w:tcW w:w="2028" w:type="dxa"/>
            <w:tcBorders>
              <w:top w:val="nil"/>
              <w:left w:val="nil"/>
              <w:bottom w:val="nil"/>
              <w:right w:val="nil"/>
            </w:tcBorders>
            <w:shd w:val="clear" w:color="auto" w:fill="auto"/>
            <w:vAlign w:val="bottom"/>
          </w:tcPr>
          <w:p w14:paraId="0B613117" w14:textId="77777777" w:rsidR="009177AB" w:rsidRDefault="009177AB" w:rsidP="00F866EA">
            <w:pPr>
              <w:spacing w:after="0" w:line="240" w:lineRule="auto"/>
              <w:jc w:val="left"/>
              <w:rPr>
                <w:color w:val="000000"/>
              </w:rPr>
            </w:pPr>
            <w:r>
              <w:rPr>
                <w:color w:val="000000"/>
              </w:rPr>
              <w:t>Sweden</w:t>
            </w:r>
          </w:p>
        </w:tc>
        <w:tc>
          <w:tcPr>
            <w:tcW w:w="1828" w:type="dxa"/>
            <w:tcBorders>
              <w:top w:val="nil"/>
              <w:left w:val="nil"/>
              <w:bottom w:val="nil"/>
              <w:right w:val="nil"/>
            </w:tcBorders>
            <w:shd w:val="clear" w:color="auto" w:fill="auto"/>
            <w:vAlign w:val="bottom"/>
          </w:tcPr>
          <w:p w14:paraId="2AA4FF6C"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16E79154" w14:textId="77777777" w:rsidR="009177AB" w:rsidRDefault="009177AB" w:rsidP="00F866EA">
            <w:pPr>
              <w:spacing w:after="0" w:line="240" w:lineRule="auto"/>
              <w:rPr>
                <w:color w:val="000000"/>
              </w:rPr>
            </w:pPr>
            <w:r>
              <w:rPr>
                <w:color w:val="000000"/>
              </w:rPr>
              <w:t>130</w:t>
            </w:r>
          </w:p>
        </w:tc>
        <w:tc>
          <w:tcPr>
            <w:tcW w:w="1252" w:type="dxa"/>
            <w:tcBorders>
              <w:top w:val="nil"/>
              <w:left w:val="nil"/>
              <w:bottom w:val="nil"/>
              <w:right w:val="nil"/>
            </w:tcBorders>
            <w:shd w:val="clear" w:color="auto" w:fill="auto"/>
            <w:vAlign w:val="bottom"/>
          </w:tcPr>
          <w:p w14:paraId="4CBEF4BE" w14:textId="77777777" w:rsidR="009177AB" w:rsidRDefault="009177AB" w:rsidP="00F866EA">
            <w:pPr>
              <w:spacing w:after="0" w:line="240" w:lineRule="auto"/>
              <w:rPr>
                <w:color w:val="000000"/>
              </w:rPr>
            </w:pPr>
            <w:r>
              <w:rPr>
                <w:color w:val="000000"/>
              </w:rPr>
              <w:t>70</w:t>
            </w:r>
          </w:p>
        </w:tc>
        <w:tc>
          <w:tcPr>
            <w:tcW w:w="1302" w:type="dxa"/>
            <w:tcBorders>
              <w:top w:val="nil"/>
              <w:left w:val="nil"/>
              <w:bottom w:val="nil"/>
              <w:right w:val="nil"/>
            </w:tcBorders>
            <w:shd w:val="clear" w:color="auto" w:fill="auto"/>
            <w:vAlign w:val="bottom"/>
          </w:tcPr>
          <w:p w14:paraId="54C003D3" w14:textId="77777777" w:rsidR="009177AB" w:rsidRDefault="009177AB" w:rsidP="00F866EA">
            <w:pPr>
              <w:spacing w:after="0" w:line="240" w:lineRule="auto"/>
              <w:rPr>
                <w:color w:val="000000"/>
              </w:rPr>
            </w:pPr>
            <w:r>
              <w:t>†</w:t>
            </w:r>
          </w:p>
        </w:tc>
      </w:tr>
      <w:tr w:rsidR="009177AB" w14:paraId="17F57C3C" w14:textId="77777777" w:rsidTr="00F866EA">
        <w:trPr>
          <w:trHeight w:val="280"/>
        </w:trPr>
        <w:tc>
          <w:tcPr>
            <w:tcW w:w="2028" w:type="dxa"/>
            <w:tcBorders>
              <w:top w:val="nil"/>
              <w:left w:val="nil"/>
              <w:bottom w:val="nil"/>
              <w:right w:val="nil"/>
            </w:tcBorders>
            <w:shd w:val="clear" w:color="auto" w:fill="auto"/>
            <w:vAlign w:val="bottom"/>
          </w:tcPr>
          <w:p w14:paraId="1F47187B" w14:textId="77777777" w:rsidR="009177AB" w:rsidRDefault="009177AB" w:rsidP="00F866EA">
            <w:pPr>
              <w:spacing w:after="0" w:line="240" w:lineRule="auto"/>
              <w:jc w:val="left"/>
              <w:rPr>
                <w:color w:val="000000"/>
              </w:rPr>
            </w:pPr>
            <w:r>
              <w:rPr>
                <w:color w:val="000000"/>
              </w:rPr>
              <w:t>Switzerland</w:t>
            </w:r>
          </w:p>
        </w:tc>
        <w:tc>
          <w:tcPr>
            <w:tcW w:w="1828" w:type="dxa"/>
            <w:tcBorders>
              <w:top w:val="nil"/>
              <w:left w:val="nil"/>
              <w:bottom w:val="nil"/>
              <w:right w:val="nil"/>
            </w:tcBorders>
            <w:shd w:val="clear" w:color="auto" w:fill="auto"/>
            <w:vAlign w:val="bottom"/>
          </w:tcPr>
          <w:p w14:paraId="0582E900"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0A314EF7" w14:textId="77777777" w:rsidR="009177AB" w:rsidRDefault="009177AB" w:rsidP="00F866EA">
            <w:pPr>
              <w:spacing w:after="0" w:line="240" w:lineRule="auto"/>
              <w:rPr>
                <w:color w:val="000000"/>
              </w:rPr>
            </w:pPr>
            <w:r>
              <w:rPr>
                <w:color w:val="000000"/>
              </w:rPr>
              <w:t>755</w:t>
            </w:r>
          </w:p>
        </w:tc>
        <w:tc>
          <w:tcPr>
            <w:tcW w:w="1252" w:type="dxa"/>
            <w:tcBorders>
              <w:top w:val="nil"/>
              <w:left w:val="nil"/>
              <w:bottom w:val="nil"/>
              <w:right w:val="nil"/>
            </w:tcBorders>
            <w:shd w:val="clear" w:color="auto" w:fill="auto"/>
            <w:vAlign w:val="bottom"/>
          </w:tcPr>
          <w:p w14:paraId="20AF026B" w14:textId="77777777" w:rsidR="009177AB" w:rsidRDefault="009177AB" w:rsidP="00F866EA">
            <w:pPr>
              <w:spacing w:after="0" w:line="240" w:lineRule="auto"/>
              <w:rPr>
                <w:color w:val="000000"/>
              </w:rPr>
            </w:pPr>
            <w:r>
              <w:rPr>
                <w:color w:val="000000"/>
              </w:rPr>
              <w:t>84</w:t>
            </w:r>
          </w:p>
        </w:tc>
        <w:tc>
          <w:tcPr>
            <w:tcW w:w="1302" w:type="dxa"/>
            <w:tcBorders>
              <w:top w:val="nil"/>
              <w:left w:val="nil"/>
              <w:bottom w:val="nil"/>
              <w:right w:val="nil"/>
            </w:tcBorders>
            <w:shd w:val="clear" w:color="auto" w:fill="auto"/>
            <w:vAlign w:val="bottom"/>
          </w:tcPr>
          <w:p w14:paraId="74FC8E8C" w14:textId="77777777" w:rsidR="009177AB" w:rsidRDefault="009177AB" w:rsidP="00F866EA">
            <w:pPr>
              <w:spacing w:after="0" w:line="240" w:lineRule="auto"/>
              <w:rPr>
                <w:color w:val="000000"/>
              </w:rPr>
            </w:pPr>
            <w:r>
              <w:rPr>
                <w:color w:val="000000"/>
              </w:rPr>
              <w:t>22.35</w:t>
            </w:r>
          </w:p>
        </w:tc>
      </w:tr>
      <w:tr w:rsidR="009177AB" w14:paraId="45D8CADA" w14:textId="77777777" w:rsidTr="00F866EA">
        <w:trPr>
          <w:trHeight w:val="280"/>
        </w:trPr>
        <w:tc>
          <w:tcPr>
            <w:tcW w:w="2028" w:type="dxa"/>
            <w:tcBorders>
              <w:top w:val="nil"/>
              <w:left w:val="nil"/>
              <w:bottom w:val="nil"/>
              <w:right w:val="nil"/>
            </w:tcBorders>
            <w:shd w:val="clear" w:color="auto" w:fill="auto"/>
            <w:vAlign w:val="bottom"/>
          </w:tcPr>
          <w:p w14:paraId="3FABC883" w14:textId="77777777" w:rsidR="009177AB" w:rsidRDefault="009177AB" w:rsidP="00F866EA">
            <w:pPr>
              <w:spacing w:after="0" w:line="240" w:lineRule="auto"/>
              <w:jc w:val="left"/>
              <w:rPr>
                <w:color w:val="000000"/>
              </w:rPr>
            </w:pPr>
            <w:r>
              <w:rPr>
                <w:color w:val="000000"/>
              </w:rPr>
              <w:t>Taiwan</w:t>
            </w:r>
          </w:p>
        </w:tc>
        <w:tc>
          <w:tcPr>
            <w:tcW w:w="1828" w:type="dxa"/>
            <w:tcBorders>
              <w:top w:val="nil"/>
              <w:left w:val="nil"/>
              <w:bottom w:val="nil"/>
              <w:right w:val="nil"/>
            </w:tcBorders>
            <w:shd w:val="clear" w:color="auto" w:fill="auto"/>
            <w:vAlign w:val="bottom"/>
          </w:tcPr>
          <w:p w14:paraId="3C3824B4" w14:textId="77777777" w:rsidR="009177AB" w:rsidRDefault="009177AB" w:rsidP="00F866EA">
            <w:pPr>
              <w:spacing w:after="0" w:line="240" w:lineRule="auto"/>
              <w:jc w:val="left"/>
              <w:rPr>
                <w:color w:val="000000"/>
              </w:rPr>
            </w:pPr>
            <w:r>
              <w:rPr>
                <w:color w:val="000000"/>
              </w:rPr>
              <w:t>East Asia</w:t>
            </w:r>
          </w:p>
        </w:tc>
        <w:tc>
          <w:tcPr>
            <w:tcW w:w="1202" w:type="dxa"/>
            <w:tcBorders>
              <w:top w:val="nil"/>
              <w:left w:val="nil"/>
              <w:bottom w:val="nil"/>
              <w:right w:val="nil"/>
            </w:tcBorders>
            <w:shd w:val="clear" w:color="auto" w:fill="auto"/>
            <w:vAlign w:val="bottom"/>
          </w:tcPr>
          <w:p w14:paraId="50E4E26F" w14:textId="77777777" w:rsidR="009177AB" w:rsidRDefault="009177AB" w:rsidP="00F866EA">
            <w:pPr>
              <w:spacing w:after="0" w:line="240" w:lineRule="auto"/>
              <w:rPr>
                <w:color w:val="000000"/>
              </w:rPr>
            </w:pPr>
            <w:r>
              <w:rPr>
                <w:color w:val="000000"/>
              </w:rPr>
              <w:t>162</w:t>
            </w:r>
          </w:p>
        </w:tc>
        <w:tc>
          <w:tcPr>
            <w:tcW w:w="1252" w:type="dxa"/>
            <w:tcBorders>
              <w:top w:val="nil"/>
              <w:left w:val="nil"/>
              <w:bottom w:val="nil"/>
              <w:right w:val="nil"/>
            </w:tcBorders>
            <w:shd w:val="clear" w:color="auto" w:fill="auto"/>
            <w:vAlign w:val="bottom"/>
          </w:tcPr>
          <w:p w14:paraId="77CF9C61" w14:textId="77777777" w:rsidR="009177AB" w:rsidRDefault="009177AB" w:rsidP="00F866EA">
            <w:pPr>
              <w:spacing w:after="0" w:line="240" w:lineRule="auto"/>
              <w:rPr>
                <w:color w:val="000000"/>
              </w:rPr>
            </w:pPr>
            <w:r>
              <w:rPr>
                <w:color w:val="000000"/>
              </w:rPr>
              <w:t>77</w:t>
            </w:r>
          </w:p>
        </w:tc>
        <w:tc>
          <w:tcPr>
            <w:tcW w:w="1302" w:type="dxa"/>
            <w:tcBorders>
              <w:top w:val="nil"/>
              <w:left w:val="nil"/>
              <w:bottom w:val="nil"/>
              <w:right w:val="nil"/>
            </w:tcBorders>
            <w:shd w:val="clear" w:color="auto" w:fill="auto"/>
            <w:vAlign w:val="bottom"/>
          </w:tcPr>
          <w:p w14:paraId="72AF3031" w14:textId="77777777" w:rsidR="009177AB" w:rsidRDefault="009177AB" w:rsidP="00F866EA">
            <w:pPr>
              <w:spacing w:after="0" w:line="240" w:lineRule="auto"/>
              <w:rPr>
                <w:color w:val="000000"/>
              </w:rPr>
            </w:pPr>
            <w:r>
              <w:rPr>
                <w:color w:val="000000"/>
              </w:rPr>
              <w:t>19.71</w:t>
            </w:r>
          </w:p>
        </w:tc>
      </w:tr>
      <w:tr w:rsidR="009177AB" w14:paraId="627F2931" w14:textId="77777777" w:rsidTr="00F866EA">
        <w:trPr>
          <w:trHeight w:val="280"/>
        </w:trPr>
        <w:tc>
          <w:tcPr>
            <w:tcW w:w="2028" w:type="dxa"/>
            <w:tcBorders>
              <w:top w:val="nil"/>
              <w:left w:val="nil"/>
              <w:bottom w:val="nil"/>
              <w:right w:val="nil"/>
            </w:tcBorders>
            <w:shd w:val="clear" w:color="auto" w:fill="auto"/>
            <w:vAlign w:val="bottom"/>
          </w:tcPr>
          <w:p w14:paraId="28EADB33" w14:textId="77777777" w:rsidR="009177AB" w:rsidRDefault="009177AB" w:rsidP="00F866EA">
            <w:pPr>
              <w:spacing w:after="0" w:line="240" w:lineRule="auto"/>
              <w:jc w:val="left"/>
              <w:rPr>
                <w:color w:val="000000"/>
              </w:rPr>
            </w:pPr>
            <w:r>
              <w:rPr>
                <w:color w:val="000000"/>
              </w:rPr>
              <w:t>Thailand</w:t>
            </w:r>
          </w:p>
        </w:tc>
        <w:tc>
          <w:tcPr>
            <w:tcW w:w="1828" w:type="dxa"/>
            <w:tcBorders>
              <w:top w:val="nil"/>
              <w:left w:val="nil"/>
              <w:bottom w:val="nil"/>
              <w:right w:val="nil"/>
            </w:tcBorders>
            <w:shd w:val="clear" w:color="auto" w:fill="auto"/>
            <w:vAlign w:val="bottom"/>
          </w:tcPr>
          <w:p w14:paraId="54E7EA60"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nil"/>
              <w:right w:val="nil"/>
            </w:tcBorders>
            <w:shd w:val="clear" w:color="auto" w:fill="auto"/>
            <w:vAlign w:val="bottom"/>
          </w:tcPr>
          <w:p w14:paraId="60173D37" w14:textId="77777777" w:rsidR="009177AB" w:rsidRDefault="009177AB" w:rsidP="00F866EA">
            <w:pPr>
              <w:spacing w:after="0" w:line="240" w:lineRule="auto"/>
              <w:rPr>
                <w:color w:val="000000"/>
              </w:rPr>
            </w:pPr>
            <w:r>
              <w:rPr>
                <w:color w:val="000000"/>
              </w:rPr>
              <w:t>196</w:t>
            </w:r>
          </w:p>
        </w:tc>
        <w:tc>
          <w:tcPr>
            <w:tcW w:w="1252" w:type="dxa"/>
            <w:tcBorders>
              <w:top w:val="nil"/>
              <w:left w:val="nil"/>
              <w:bottom w:val="nil"/>
              <w:right w:val="nil"/>
            </w:tcBorders>
            <w:shd w:val="clear" w:color="auto" w:fill="auto"/>
            <w:vAlign w:val="bottom"/>
          </w:tcPr>
          <w:p w14:paraId="769446BC" w14:textId="77777777" w:rsidR="009177AB" w:rsidRDefault="009177AB" w:rsidP="00F866EA">
            <w:pPr>
              <w:spacing w:after="0" w:line="240" w:lineRule="auto"/>
              <w:rPr>
                <w:color w:val="000000"/>
              </w:rPr>
            </w:pPr>
            <w:r>
              <w:rPr>
                <w:color w:val="000000"/>
              </w:rPr>
              <w:t>77</w:t>
            </w:r>
          </w:p>
        </w:tc>
        <w:tc>
          <w:tcPr>
            <w:tcW w:w="1302" w:type="dxa"/>
            <w:tcBorders>
              <w:top w:val="nil"/>
              <w:left w:val="nil"/>
              <w:bottom w:val="nil"/>
              <w:right w:val="nil"/>
            </w:tcBorders>
            <w:shd w:val="clear" w:color="auto" w:fill="auto"/>
            <w:vAlign w:val="bottom"/>
          </w:tcPr>
          <w:p w14:paraId="316A9FBF" w14:textId="77777777" w:rsidR="009177AB" w:rsidRDefault="009177AB" w:rsidP="00F866EA">
            <w:pPr>
              <w:spacing w:after="0" w:line="240" w:lineRule="auto"/>
              <w:rPr>
                <w:color w:val="000000"/>
              </w:rPr>
            </w:pPr>
            <w:r>
              <w:rPr>
                <w:color w:val="000000"/>
              </w:rPr>
              <w:t>19.27</w:t>
            </w:r>
          </w:p>
        </w:tc>
      </w:tr>
      <w:tr w:rsidR="009177AB" w14:paraId="0EBA62AE" w14:textId="77777777" w:rsidTr="00F866EA">
        <w:trPr>
          <w:trHeight w:val="280"/>
        </w:trPr>
        <w:tc>
          <w:tcPr>
            <w:tcW w:w="2028" w:type="dxa"/>
            <w:tcBorders>
              <w:top w:val="nil"/>
              <w:left w:val="nil"/>
              <w:bottom w:val="nil"/>
              <w:right w:val="nil"/>
            </w:tcBorders>
            <w:shd w:val="clear" w:color="auto" w:fill="auto"/>
            <w:vAlign w:val="bottom"/>
          </w:tcPr>
          <w:p w14:paraId="435C2F97" w14:textId="77777777" w:rsidR="009177AB" w:rsidRDefault="009177AB" w:rsidP="00F866EA">
            <w:pPr>
              <w:spacing w:after="0" w:line="240" w:lineRule="auto"/>
              <w:jc w:val="left"/>
              <w:rPr>
                <w:color w:val="000000"/>
              </w:rPr>
            </w:pPr>
            <w:r>
              <w:rPr>
                <w:color w:val="000000"/>
              </w:rPr>
              <w:t>Turkey</w:t>
            </w:r>
          </w:p>
        </w:tc>
        <w:tc>
          <w:tcPr>
            <w:tcW w:w="1828" w:type="dxa"/>
            <w:tcBorders>
              <w:top w:val="nil"/>
              <w:left w:val="nil"/>
              <w:bottom w:val="nil"/>
              <w:right w:val="nil"/>
            </w:tcBorders>
            <w:shd w:val="clear" w:color="auto" w:fill="auto"/>
            <w:vAlign w:val="bottom"/>
          </w:tcPr>
          <w:p w14:paraId="429A982F" w14:textId="77777777" w:rsidR="009177AB" w:rsidRDefault="009177AB" w:rsidP="00F866EA">
            <w:pPr>
              <w:spacing w:after="0" w:line="240" w:lineRule="auto"/>
              <w:jc w:val="left"/>
              <w:rPr>
                <w:color w:val="000000"/>
              </w:rPr>
            </w:pPr>
            <w:r>
              <w:rPr>
                <w:color w:val="000000"/>
              </w:rPr>
              <w:t>Middle East</w:t>
            </w:r>
          </w:p>
        </w:tc>
        <w:tc>
          <w:tcPr>
            <w:tcW w:w="1202" w:type="dxa"/>
            <w:tcBorders>
              <w:top w:val="nil"/>
              <w:left w:val="nil"/>
              <w:bottom w:val="nil"/>
              <w:right w:val="nil"/>
            </w:tcBorders>
            <w:shd w:val="clear" w:color="auto" w:fill="auto"/>
            <w:vAlign w:val="bottom"/>
          </w:tcPr>
          <w:p w14:paraId="3FCD253B" w14:textId="77777777" w:rsidR="009177AB" w:rsidRDefault="009177AB" w:rsidP="00F866EA">
            <w:pPr>
              <w:spacing w:after="0" w:line="240" w:lineRule="auto"/>
              <w:rPr>
                <w:color w:val="000000"/>
              </w:rPr>
            </w:pPr>
            <w:r>
              <w:rPr>
                <w:color w:val="000000"/>
              </w:rPr>
              <w:t>329</w:t>
            </w:r>
          </w:p>
        </w:tc>
        <w:tc>
          <w:tcPr>
            <w:tcW w:w="1252" w:type="dxa"/>
            <w:tcBorders>
              <w:top w:val="nil"/>
              <w:left w:val="nil"/>
              <w:bottom w:val="nil"/>
              <w:right w:val="nil"/>
            </w:tcBorders>
            <w:shd w:val="clear" w:color="auto" w:fill="auto"/>
            <w:vAlign w:val="bottom"/>
          </w:tcPr>
          <w:p w14:paraId="3C1A2053" w14:textId="77777777" w:rsidR="009177AB" w:rsidRDefault="009177AB" w:rsidP="00F866EA">
            <w:pPr>
              <w:spacing w:after="0" w:line="240" w:lineRule="auto"/>
              <w:rPr>
                <w:color w:val="000000"/>
              </w:rPr>
            </w:pPr>
            <w:r>
              <w:rPr>
                <w:color w:val="000000"/>
              </w:rPr>
              <w:t>68</w:t>
            </w:r>
          </w:p>
        </w:tc>
        <w:tc>
          <w:tcPr>
            <w:tcW w:w="1302" w:type="dxa"/>
            <w:tcBorders>
              <w:top w:val="nil"/>
              <w:left w:val="nil"/>
              <w:bottom w:val="nil"/>
              <w:right w:val="nil"/>
            </w:tcBorders>
            <w:shd w:val="clear" w:color="auto" w:fill="auto"/>
            <w:vAlign w:val="bottom"/>
          </w:tcPr>
          <w:p w14:paraId="5156EC77" w14:textId="77777777" w:rsidR="009177AB" w:rsidRDefault="009177AB" w:rsidP="00F866EA">
            <w:pPr>
              <w:spacing w:after="0" w:line="240" w:lineRule="auto"/>
              <w:rPr>
                <w:color w:val="000000"/>
              </w:rPr>
            </w:pPr>
            <w:r>
              <w:rPr>
                <w:color w:val="000000"/>
              </w:rPr>
              <w:t>21.09</w:t>
            </w:r>
          </w:p>
        </w:tc>
      </w:tr>
      <w:tr w:rsidR="009177AB" w14:paraId="324C0BB5" w14:textId="77777777" w:rsidTr="00F866EA">
        <w:trPr>
          <w:trHeight w:val="280"/>
        </w:trPr>
        <w:tc>
          <w:tcPr>
            <w:tcW w:w="2028" w:type="dxa"/>
            <w:tcBorders>
              <w:top w:val="nil"/>
              <w:left w:val="nil"/>
              <w:bottom w:val="nil"/>
              <w:right w:val="nil"/>
            </w:tcBorders>
            <w:shd w:val="clear" w:color="auto" w:fill="auto"/>
            <w:vAlign w:val="bottom"/>
          </w:tcPr>
          <w:p w14:paraId="1F6871B3" w14:textId="77777777" w:rsidR="009177AB" w:rsidRDefault="009177AB" w:rsidP="00F866EA">
            <w:pPr>
              <w:spacing w:after="0" w:line="240" w:lineRule="auto"/>
              <w:jc w:val="left"/>
              <w:rPr>
                <w:color w:val="000000"/>
              </w:rPr>
            </w:pPr>
            <w:r>
              <w:rPr>
                <w:color w:val="000000"/>
              </w:rPr>
              <w:t>Uganda</w:t>
            </w:r>
          </w:p>
        </w:tc>
        <w:tc>
          <w:tcPr>
            <w:tcW w:w="1828" w:type="dxa"/>
            <w:tcBorders>
              <w:top w:val="nil"/>
              <w:left w:val="nil"/>
              <w:bottom w:val="nil"/>
              <w:right w:val="nil"/>
            </w:tcBorders>
            <w:shd w:val="clear" w:color="auto" w:fill="auto"/>
            <w:vAlign w:val="bottom"/>
          </w:tcPr>
          <w:p w14:paraId="04DE9442" w14:textId="77777777" w:rsidR="009177AB" w:rsidRDefault="009177AB" w:rsidP="00F866EA">
            <w:pPr>
              <w:spacing w:after="0" w:line="240" w:lineRule="auto"/>
              <w:jc w:val="left"/>
              <w:rPr>
                <w:color w:val="000000"/>
              </w:rPr>
            </w:pPr>
            <w:r>
              <w:rPr>
                <w:color w:val="000000"/>
              </w:rPr>
              <w:t>Africa</w:t>
            </w:r>
          </w:p>
        </w:tc>
        <w:tc>
          <w:tcPr>
            <w:tcW w:w="1202" w:type="dxa"/>
            <w:tcBorders>
              <w:top w:val="nil"/>
              <w:left w:val="nil"/>
              <w:bottom w:val="nil"/>
              <w:right w:val="nil"/>
            </w:tcBorders>
            <w:shd w:val="clear" w:color="auto" w:fill="auto"/>
            <w:vAlign w:val="bottom"/>
          </w:tcPr>
          <w:p w14:paraId="69EA4C3D" w14:textId="77777777" w:rsidR="009177AB" w:rsidRDefault="009177AB" w:rsidP="00F866EA">
            <w:pPr>
              <w:spacing w:after="0" w:line="240" w:lineRule="auto"/>
              <w:rPr>
                <w:color w:val="000000"/>
              </w:rPr>
            </w:pPr>
            <w:r>
              <w:rPr>
                <w:color w:val="000000"/>
              </w:rPr>
              <w:t>93</w:t>
            </w:r>
          </w:p>
        </w:tc>
        <w:tc>
          <w:tcPr>
            <w:tcW w:w="1252" w:type="dxa"/>
            <w:tcBorders>
              <w:top w:val="nil"/>
              <w:left w:val="nil"/>
              <w:bottom w:val="nil"/>
              <w:right w:val="nil"/>
            </w:tcBorders>
            <w:shd w:val="clear" w:color="auto" w:fill="auto"/>
            <w:vAlign w:val="bottom"/>
          </w:tcPr>
          <w:p w14:paraId="5C7BBD10" w14:textId="77777777" w:rsidR="009177AB" w:rsidRDefault="009177AB" w:rsidP="00F866EA">
            <w:pPr>
              <w:spacing w:after="0" w:line="240" w:lineRule="auto"/>
              <w:rPr>
                <w:color w:val="000000"/>
              </w:rPr>
            </w:pPr>
            <w:r>
              <w:rPr>
                <w:color w:val="000000"/>
              </w:rPr>
              <w:t>65</w:t>
            </w:r>
          </w:p>
        </w:tc>
        <w:tc>
          <w:tcPr>
            <w:tcW w:w="1302" w:type="dxa"/>
            <w:tcBorders>
              <w:top w:val="nil"/>
              <w:left w:val="nil"/>
              <w:bottom w:val="nil"/>
              <w:right w:val="nil"/>
            </w:tcBorders>
            <w:shd w:val="clear" w:color="auto" w:fill="auto"/>
            <w:vAlign w:val="bottom"/>
          </w:tcPr>
          <w:p w14:paraId="12110727" w14:textId="77777777" w:rsidR="009177AB" w:rsidRDefault="009177AB" w:rsidP="00F866EA">
            <w:pPr>
              <w:spacing w:after="0" w:line="240" w:lineRule="auto"/>
              <w:rPr>
                <w:color w:val="000000"/>
              </w:rPr>
            </w:pPr>
            <w:r>
              <w:rPr>
                <w:color w:val="000000"/>
              </w:rPr>
              <w:t>22.63</w:t>
            </w:r>
          </w:p>
        </w:tc>
      </w:tr>
      <w:tr w:rsidR="009177AB" w14:paraId="758AB7CE" w14:textId="77777777" w:rsidTr="00F866EA">
        <w:trPr>
          <w:trHeight w:val="280"/>
        </w:trPr>
        <w:tc>
          <w:tcPr>
            <w:tcW w:w="2028" w:type="dxa"/>
            <w:tcBorders>
              <w:top w:val="nil"/>
              <w:left w:val="nil"/>
              <w:bottom w:val="nil"/>
              <w:right w:val="nil"/>
            </w:tcBorders>
            <w:shd w:val="clear" w:color="auto" w:fill="auto"/>
            <w:vAlign w:val="bottom"/>
          </w:tcPr>
          <w:p w14:paraId="2A69DC7F" w14:textId="77777777" w:rsidR="009177AB" w:rsidRDefault="009177AB" w:rsidP="00F866EA">
            <w:pPr>
              <w:spacing w:after="0" w:line="240" w:lineRule="auto"/>
              <w:jc w:val="left"/>
              <w:rPr>
                <w:color w:val="000000"/>
              </w:rPr>
            </w:pPr>
            <w:r>
              <w:rPr>
                <w:color w:val="000000"/>
              </w:rPr>
              <w:t>Ukraine</w:t>
            </w:r>
          </w:p>
        </w:tc>
        <w:tc>
          <w:tcPr>
            <w:tcW w:w="1828" w:type="dxa"/>
            <w:tcBorders>
              <w:top w:val="nil"/>
              <w:left w:val="nil"/>
              <w:bottom w:val="nil"/>
              <w:right w:val="nil"/>
            </w:tcBorders>
            <w:shd w:val="clear" w:color="auto" w:fill="auto"/>
            <w:vAlign w:val="bottom"/>
          </w:tcPr>
          <w:p w14:paraId="3A3CC163"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47D3D738" w14:textId="77777777" w:rsidR="009177AB" w:rsidRDefault="009177AB" w:rsidP="00F866EA">
            <w:pPr>
              <w:spacing w:after="0" w:line="240" w:lineRule="auto"/>
              <w:rPr>
                <w:color w:val="000000"/>
              </w:rPr>
            </w:pPr>
            <w:r>
              <w:rPr>
                <w:color w:val="000000"/>
              </w:rPr>
              <w:t>244</w:t>
            </w:r>
          </w:p>
        </w:tc>
        <w:tc>
          <w:tcPr>
            <w:tcW w:w="1252" w:type="dxa"/>
            <w:tcBorders>
              <w:top w:val="nil"/>
              <w:left w:val="nil"/>
              <w:bottom w:val="nil"/>
              <w:right w:val="nil"/>
            </w:tcBorders>
            <w:shd w:val="clear" w:color="auto" w:fill="auto"/>
            <w:vAlign w:val="bottom"/>
          </w:tcPr>
          <w:p w14:paraId="24F45A89" w14:textId="77777777" w:rsidR="009177AB" w:rsidRDefault="009177AB" w:rsidP="00F866EA">
            <w:pPr>
              <w:spacing w:after="0" w:line="240" w:lineRule="auto"/>
              <w:rPr>
                <w:color w:val="000000"/>
              </w:rPr>
            </w:pPr>
            <w:r>
              <w:rPr>
                <w:color w:val="000000"/>
              </w:rPr>
              <w:t>77</w:t>
            </w:r>
          </w:p>
        </w:tc>
        <w:tc>
          <w:tcPr>
            <w:tcW w:w="1302" w:type="dxa"/>
            <w:tcBorders>
              <w:top w:val="nil"/>
              <w:left w:val="nil"/>
              <w:bottom w:val="nil"/>
              <w:right w:val="nil"/>
            </w:tcBorders>
            <w:shd w:val="clear" w:color="auto" w:fill="auto"/>
            <w:vAlign w:val="bottom"/>
          </w:tcPr>
          <w:p w14:paraId="4D41EF6B" w14:textId="77777777" w:rsidR="009177AB" w:rsidRDefault="009177AB" w:rsidP="00F866EA">
            <w:pPr>
              <w:spacing w:after="0" w:line="240" w:lineRule="auto"/>
              <w:rPr>
                <w:color w:val="000000"/>
              </w:rPr>
            </w:pPr>
            <w:r>
              <w:rPr>
                <w:color w:val="000000"/>
              </w:rPr>
              <w:t>20.62</w:t>
            </w:r>
          </w:p>
        </w:tc>
      </w:tr>
      <w:tr w:rsidR="009177AB" w14:paraId="4D175A15" w14:textId="77777777" w:rsidTr="00F866EA">
        <w:trPr>
          <w:trHeight w:val="280"/>
        </w:trPr>
        <w:tc>
          <w:tcPr>
            <w:tcW w:w="2028" w:type="dxa"/>
            <w:tcBorders>
              <w:top w:val="nil"/>
              <w:left w:val="nil"/>
              <w:bottom w:val="nil"/>
              <w:right w:val="nil"/>
            </w:tcBorders>
            <w:shd w:val="clear" w:color="auto" w:fill="auto"/>
            <w:vAlign w:val="bottom"/>
          </w:tcPr>
          <w:p w14:paraId="65BA552A" w14:textId="77777777" w:rsidR="009177AB" w:rsidRDefault="009177AB" w:rsidP="00F866EA">
            <w:pPr>
              <w:spacing w:after="0" w:line="240" w:lineRule="auto"/>
              <w:jc w:val="left"/>
              <w:rPr>
                <w:color w:val="000000"/>
              </w:rPr>
            </w:pPr>
            <w:r>
              <w:rPr>
                <w:color w:val="000000"/>
              </w:rPr>
              <w:t>United Kingdom</w:t>
            </w:r>
          </w:p>
        </w:tc>
        <w:tc>
          <w:tcPr>
            <w:tcW w:w="1828" w:type="dxa"/>
            <w:tcBorders>
              <w:top w:val="nil"/>
              <w:left w:val="nil"/>
              <w:bottom w:val="nil"/>
              <w:right w:val="nil"/>
            </w:tcBorders>
            <w:shd w:val="clear" w:color="auto" w:fill="auto"/>
            <w:vAlign w:val="bottom"/>
          </w:tcPr>
          <w:p w14:paraId="38622BDD" w14:textId="77777777" w:rsidR="009177AB" w:rsidRDefault="009177AB" w:rsidP="00F866EA">
            <w:pPr>
              <w:spacing w:after="0" w:line="240" w:lineRule="auto"/>
              <w:jc w:val="left"/>
              <w:rPr>
                <w:color w:val="000000"/>
              </w:rPr>
            </w:pPr>
            <w:r>
              <w:rPr>
                <w:color w:val="000000"/>
              </w:rPr>
              <w:t>Europe</w:t>
            </w:r>
          </w:p>
        </w:tc>
        <w:tc>
          <w:tcPr>
            <w:tcW w:w="1202" w:type="dxa"/>
            <w:tcBorders>
              <w:top w:val="nil"/>
              <w:left w:val="nil"/>
              <w:bottom w:val="nil"/>
              <w:right w:val="nil"/>
            </w:tcBorders>
            <w:shd w:val="clear" w:color="auto" w:fill="auto"/>
            <w:vAlign w:val="bottom"/>
          </w:tcPr>
          <w:p w14:paraId="29397D93" w14:textId="77777777" w:rsidR="009177AB" w:rsidRDefault="009177AB" w:rsidP="00F866EA">
            <w:pPr>
              <w:spacing w:after="0" w:line="240" w:lineRule="auto"/>
              <w:rPr>
                <w:color w:val="000000"/>
              </w:rPr>
            </w:pPr>
            <w:r>
              <w:rPr>
                <w:color w:val="000000"/>
              </w:rPr>
              <w:t>136</w:t>
            </w:r>
          </w:p>
        </w:tc>
        <w:tc>
          <w:tcPr>
            <w:tcW w:w="1252" w:type="dxa"/>
            <w:tcBorders>
              <w:top w:val="nil"/>
              <w:left w:val="nil"/>
              <w:bottom w:val="nil"/>
              <w:right w:val="nil"/>
            </w:tcBorders>
            <w:shd w:val="clear" w:color="auto" w:fill="auto"/>
            <w:vAlign w:val="bottom"/>
          </w:tcPr>
          <w:p w14:paraId="1D934466" w14:textId="77777777" w:rsidR="009177AB" w:rsidRDefault="009177AB" w:rsidP="00F866EA">
            <w:pPr>
              <w:spacing w:after="0" w:line="240" w:lineRule="auto"/>
              <w:rPr>
                <w:color w:val="000000"/>
              </w:rPr>
            </w:pPr>
            <w:r>
              <w:rPr>
                <w:color w:val="000000"/>
              </w:rPr>
              <w:t>89</w:t>
            </w:r>
          </w:p>
        </w:tc>
        <w:tc>
          <w:tcPr>
            <w:tcW w:w="1302" w:type="dxa"/>
            <w:tcBorders>
              <w:top w:val="nil"/>
              <w:left w:val="nil"/>
              <w:bottom w:val="nil"/>
              <w:right w:val="nil"/>
            </w:tcBorders>
            <w:shd w:val="clear" w:color="auto" w:fill="auto"/>
            <w:vAlign w:val="bottom"/>
          </w:tcPr>
          <w:p w14:paraId="35B3C849" w14:textId="77777777" w:rsidR="009177AB" w:rsidRDefault="009177AB" w:rsidP="00F866EA">
            <w:pPr>
              <w:spacing w:after="0" w:line="240" w:lineRule="auto"/>
              <w:rPr>
                <w:color w:val="000000"/>
              </w:rPr>
            </w:pPr>
            <w:r>
              <w:rPr>
                <w:color w:val="000000"/>
              </w:rPr>
              <w:t>25.64</w:t>
            </w:r>
          </w:p>
        </w:tc>
      </w:tr>
      <w:tr w:rsidR="009177AB" w14:paraId="3390C130" w14:textId="77777777" w:rsidTr="00F866EA">
        <w:trPr>
          <w:trHeight w:val="280"/>
        </w:trPr>
        <w:tc>
          <w:tcPr>
            <w:tcW w:w="2028" w:type="dxa"/>
            <w:tcBorders>
              <w:top w:val="nil"/>
              <w:left w:val="nil"/>
              <w:bottom w:val="nil"/>
              <w:right w:val="nil"/>
            </w:tcBorders>
            <w:shd w:val="clear" w:color="auto" w:fill="auto"/>
            <w:vAlign w:val="bottom"/>
          </w:tcPr>
          <w:p w14:paraId="13E7AF00" w14:textId="77777777" w:rsidR="009177AB" w:rsidRDefault="009177AB" w:rsidP="00F866EA">
            <w:pPr>
              <w:spacing w:after="0" w:line="240" w:lineRule="auto"/>
              <w:jc w:val="left"/>
              <w:rPr>
                <w:color w:val="000000"/>
              </w:rPr>
            </w:pPr>
            <w:r>
              <w:rPr>
                <w:color w:val="000000"/>
              </w:rPr>
              <w:t>United States</w:t>
            </w:r>
          </w:p>
        </w:tc>
        <w:tc>
          <w:tcPr>
            <w:tcW w:w="1828" w:type="dxa"/>
            <w:tcBorders>
              <w:top w:val="nil"/>
              <w:left w:val="nil"/>
              <w:bottom w:val="nil"/>
              <w:right w:val="nil"/>
            </w:tcBorders>
            <w:shd w:val="clear" w:color="auto" w:fill="auto"/>
            <w:vAlign w:val="bottom"/>
          </w:tcPr>
          <w:p w14:paraId="3A313E89" w14:textId="77777777" w:rsidR="009177AB" w:rsidRDefault="009177AB" w:rsidP="00F866EA">
            <w:pPr>
              <w:spacing w:after="0" w:line="240" w:lineRule="auto"/>
              <w:jc w:val="left"/>
              <w:rPr>
                <w:color w:val="000000"/>
              </w:rPr>
            </w:pPr>
            <w:r>
              <w:rPr>
                <w:color w:val="000000"/>
              </w:rPr>
              <w:t>English West</w:t>
            </w:r>
          </w:p>
        </w:tc>
        <w:tc>
          <w:tcPr>
            <w:tcW w:w="1202" w:type="dxa"/>
            <w:tcBorders>
              <w:top w:val="nil"/>
              <w:left w:val="nil"/>
              <w:bottom w:val="nil"/>
              <w:right w:val="nil"/>
            </w:tcBorders>
            <w:shd w:val="clear" w:color="auto" w:fill="auto"/>
            <w:vAlign w:val="bottom"/>
          </w:tcPr>
          <w:p w14:paraId="0E38D5B4" w14:textId="77777777" w:rsidR="009177AB" w:rsidRDefault="009177AB" w:rsidP="00F866EA">
            <w:pPr>
              <w:spacing w:after="0" w:line="240" w:lineRule="auto"/>
              <w:rPr>
                <w:color w:val="000000"/>
              </w:rPr>
            </w:pPr>
            <w:r>
              <w:rPr>
                <w:color w:val="000000"/>
              </w:rPr>
              <w:t>1366</w:t>
            </w:r>
          </w:p>
        </w:tc>
        <w:tc>
          <w:tcPr>
            <w:tcW w:w="1252" w:type="dxa"/>
            <w:tcBorders>
              <w:top w:val="nil"/>
              <w:left w:val="nil"/>
              <w:bottom w:val="nil"/>
              <w:right w:val="nil"/>
            </w:tcBorders>
            <w:shd w:val="clear" w:color="auto" w:fill="auto"/>
            <w:vAlign w:val="bottom"/>
          </w:tcPr>
          <w:p w14:paraId="356B1C41" w14:textId="77777777" w:rsidR="009177AB" w:rsidRDefault="009177AB" w:rsidP="00F866EA">
            <w:pPr>
              <w:spacing w:after="0" w:line="240" w:lineRule="auto"/>
              <w:rPr>
                <w:color w:val="000000"/>
              </w:rPr>
            </w:pPr>
            <w:r>
              <w:rPr>
                <w:color w:val="000000"/>
              </w:rPr>
              <w:t>67</w:t>
            </w:r>
          </w:p>
        </w:tc>
        <w:tc>
          <w:tcPr>
            <w:tcW w:w="1302" w:type="dxa"/>
            <w:tcBorders>
              <w:top w:val="nil"/>
              <w:left w:val="nil"/>
              <w:bottom w:val="nil"/>
              <w:right w:val="nil"/>
            </w:tcBorders>
            <w:shd w:val="clear" w:color="auto" w:fill="auto"/>
            <w:vAlign w:val="bottom"/>
          </w:tcPr>
          <w:p w14:paraId="6927B67D" w14:textId="77777777" w:rsidR="009177AB" w:rsidRDefault="009177AB" w:rsidP="00F866EA">
            <w:pPr>
              <w:spacing w:after="0" w:line="240" w:lineRule="auto"/>
              <w:rPr>
                <w:color w:val="000000"/>
              </w:rPr>
            </w:pPr>
            <w:r>
              <w:rPr>
                <w:color w:val="000000"/>
              </w:rPr>
              <w:t>19.86</w:t>
            </w:r>
          </w:p>
        </w:tc>
      </w:tr>
      <w:tr w:rsidR="009177AB" w14:paraId="53EC2639" w14:textId="77777777" w:rsidTr="00F866EA">
        <w:trPr>
          <w:trHeight w:val="280"/>
        </w:trPr>
        <w:tc>
          <w:tcPr>
            <w:tcW w:w="2028" w:type="dxa"/>
            <w:tcBorders>
              <w:top w:val="nil"/>
              <w:left w:val="nil"/>
              <w:bottom w:val="single" w:sz="4" w:space="0" w:color="000000"/>
              <w:right w:val="nil"/>
            </w:tcBorders>
            <w:shd w:val="clear" w:color="auto" w:fill="auto"/>
            <w:vAlign w:val="bottom"/>
          </w:tcPr>
          <w:p w14:paraId="535017DE" w14:textId="77777777" w:rsidR="009177AB" w:rsidRDefault="009177AB" w:rsidP="00F866EA">
            <w:pPr>
              <w:spacing w:after="0" w:line="240" w:lineRule="auto"/>
              <w:jc w:val="left"/>
              <w:rPr>
                <w:color w:val="000000"/>
              </w:rPr>
            </w:pPr>
            <w:r>
              <w:rPr>
                <w:color w:val="000000"/>
              </w:rPr>
              <w:t>Vietnam</w:t>
            </w:r>
          </w:p>
        </w:tc>
        <w:tc>
          <w:tcPr>
            <w:tcW w:w="1828" w:type="dxa"/>
            <w:tcBorders>
              <w:top w:val="nil"/>
              <w:left w:val="nil"/>
              <w:bottom w:val="single" w:sz="4" w:space="0" w:color="000000"/>
              <w:right w:val="nil"/>
            </w:tcBorders>
            <w:shd w:val="clear" w:color="auto" w:fill="auto"/>
            <w:vAlign w:val="bottom"/>
          </w:tcPr>
          <w:p w14:paraId="42B079CA" w14:textId="77777777" w:rsidR="009177AB" w:rsidRDefault="009177AB" w:rsidP="00F866EA">
            <w:pPr>
              <w:spacing w:after="0" w:line="240" w:lineRule="auto"/>
              <w:jc w:val="left"/>
              <w:rPr>
                <w:color w:val="000000"/>
              </w:rPr>
            </w:pPr>
            <w:r>
              <w:rPr>
                <w:color w:val="000000"/>
              </w:rPr>
              <w:t>South Asia</w:t>
            </w:r>
          </w:p>
        </w:tc>
        <w:tc>
          <w:tcPr>
            <w:tcW w:w="1202" w:type="dxa"/>
            <w:tcBorders>
              <w:top w:val="nil"/>
              <w:left w:val="nil"/>
              <w:bottom w:val="single" w:sz="4" w:space="0" w:color="000000"/>
              <w:right w:val="nil"/>
            </w:tcBorders>
            <w:shd w:val="clear" w:color="auto" w:fill="auto"/>
            <w:vAlign w:val="bottom"/>
          </w:tcPr>
          <w:p w14:paraId="073D0192" w14:textId="77777777" w:rsidR="009177AB" w:rsidRDefault="009177AB" w:rsidP="00F866EA">
            <w:pPr>
              <w:spacing w:after="0" w:line="240" w:lineRule="auto"/>
              <w:rPr>
                <w:color w:val="000000"/>
              </w:rPr>
            </w:pPr>
            <w:r>
              <w:rPr>
                <w:color w:val="000000"/>
              </w:rPr>
              <w:t>168</w:t>
            </w:r>
          </w:p>
        </w:tc>
        <w:tc>
          <w:tcPr>
            <w:tcW w:w="1252" w:type="dxa"/>
            <w:tcBorders>
              <w:top w:val="nil"/>
              <w:left w:val="nil"/>
              <w:bottom w:val="single" w:sz="4" w:space="0" w:color="000000"/>
              <w:right w:val="nil"/>
            </w:tcBorders>
            <w:shd w:val="clear" w:color="auto" w:fill="auto"/>
            <w:vAlign w:val="bottom"/>
          </w:tcPr>
          <w:p w14:paraId="4A71E095" w14:textId="77777777" w:rsidR="009177AB" w:rsidRDefault="009177AB" w:rsidP="00F866EA">
            <w:pPr>
              <w:spacing w:after="0" w:line="240" w:lineRule="auto"/>
              <w:rPr>
                <w:color w:val="000000"/>
              </w:rPr>
            </w:pPr>
            <w:r>
              <w:rPr>
                <w:color w:val="000000"/>
              </w:rPr>
              <w:t>77</w:t>
            </w:r>
          </w:p>
        </w:tc>
        <w:tc>
          <w:tcPr>
            <w:tcW w:w="1302" w:type="dxa"/>
            <w:tcBorders>
              <w:top w:val="nil"/>
              <w:left w:val="nil"/>
              <w:bottom w:val="single" w:sz="4" w:space="0" w:color="000000"/>
              <w:right w:val="nil"/>
            </w:tcBorders>
            <w:shd w:val="clear" w:color="auto" w:fill="auto"/>
            <w:vAlign w:val="bottom"/>
          </w:tcPr>
          <w:p w14:paraId="0DC183DB" w14:textId="77777777" w:rsidR="009177AB" w:rsidRDefault="009177AB" w:rsidP="00F866EA">
            <w:pPr>
              <w:spacing w:after="0" w:line="240" w:lineRule="auto"/>
              <w:rPr>
                <w:color w:val="000000"/>
              </w:rPr>
            </w:pPr>
            <w:r>
              <w:rPr>
                <w:color w:val="000000"/>
              </w:rPr>
              <w:t>19.05</w:t>
            </w:r>
          </w:p>
        </w:tc>
      </w:tr>
      <w:tr w:rsidR="009177AB" w14:paraId="40FA109D" w14:textId="77777777" w:rsidTr="00F866EA">
        <w:trPr>
          <w:trHeight w:val="280"/>
        </w:trPr>
        <w:tc>
          <w:tcPr>
            <w:tcW w:w="3856" w:type="dxa"/>
            <w:gridSpan w:val="2"/>
            <w:tcBorders>
              <w:top w:val="single" w:sz="4" w:space="0" w:color="000000"/>
              <w:left w:val="nil"/>
              <w:bottom w:val="single" w:sz="4" w:space="0" w:color="000000"/>
              <w:right w:val="nil"/>
            </w:tcBorders>
            <w:shd w:val="clear" w:color="auto" w:fill="auto"/>
            <w:vAlign w:val="bottom"/>
          </w:tcPr>
          <w:p w14:paraId="2583455B" w14:textId="77777777" w:rsidR="009177AB" w:rsidRDefault="009177AB" w:rsidP="00F866EA">
            <w:pPr>
              <w:spacing w:after="0" w:line="240" w:lineRule="auto"/>
              <w:jc w:val="left"/>
              <w:rPr>
                <w:color w:val="000000"/>
              </w:rPr>
            </w:pPr>
            <w:r>
              <w:rPr>
                <w:color w:val="000000"/>
              </w:rPr>
              <w:t>World Average</w:t>
            </w:r>
          </w:p>
        </w:tc>
        <w:tc>
          <w:tcPr>
            <w:tcW w:w="1202" w:type="dxa"/>
            <w:tcBorders>
              <w:top w:val="single" w:sz="4" w:space="0" w:color="000000"/>
              <w:left w:val="nil"/>
              <w:bottom w:val="single" w:sz="4" w:space="0" w:color="000000"/>
              <w:right w:val="nil"/>
            </w:tcBorders>
            <w:shd w:val="clear" w:color="auto" w:fill="auto"/>
            <w:vAlign w:val="bottom"/>
          </w:tcPr>
          <w:p w14:paraId="38087612" w14:textId="77777777" w:rsidR="009177AB" w:rsidRDefault="009177AB" w:rsidP="00F866EA">
            <w:pPr>
              <w:spacing w:after="0" w:line="240" w:lineRule="auto"/>
              <w:rPr>
                <w:color w:val="000000"/>
              </w:rPr>
            </w:pPr>
            <w:r>
              <w:rPr>
                <w:color w:val="000000"/>
              </w:rPr>
              <w:t>246</w:t>
            </w:r>
          </w:p>
        </w:tc>
        <w:tc>
          <w:tcPr>
            <w:tcW w:w="1252" w:type="dxa"/>
            <w:tcBorders>
              <w:top w:val="single" w:sz="4" w:space="0" w:color="000000"/>
              <w:left w:val="nil"/>
              <w:bottom w:val="single" w:sz="4" w:space="0" w:color="000000"/>
              <w:right w:val="nil"/>
            </w:tcBorders>
            <w:shd w:val="clear" w:color="auto" w:fill="auto"/>
            <w:vAlign w:val="bottom"/>
          </w:tcPr>
          <w:p w14:paraId="37A66B5A" w14:textId="77777777" w:rsidR="009177AB" w:rsidRDefault="009177AB" w:rsidP="00F866EA">
            <w:pPr>
              <w:spacing w:after="0" w:line="240" w:lineRule="auto"/>
              <w:rPr>
                <w:color w:val="000000"/>
              </w:rPr>
            </w:pPr>
            <w:r>
              <w:rPr>
                <w:color w:val="000000"/>
              </w:rPr>
              <w:t>71</w:t>
            </w:r>
          </w:p>
        </w:tc>
        <w:tc>
          <w:tcPr>
            <w:tcW w:w="1302" w:type="dxa"/>
            <w:tcBorders>
              <w:top w:val="single" w:sz="4" w:space="0" w:color="000000"/>
              <w:left w:val="nil"/>
              <w:bottom w:val="single" w:sz="4" w:space="0" w:color="000000"/>
              <w:right w:val="nil"/>
            </w:tcBorders>
            <w:shd w:val="clear" w:color="auto" w:fill="auto"/>
            <w:vAlign w:val="bottom"/>
          </w:tcPr>
          <w:p w14:paraId="06713B3C" w14:textId="77777777" w:rsidR="009177AB" w:rsidRDefault="009177AB" w:rsidP="00F866EA">
            <w:pPr>
              <w:spacing w:after="0" w:line="240" w:lineRule="auto"/>
              <w:rPr>
                <w:color w:val="000000"/>
              </w:rPr>
            </w:pPr>
            <w:r>
              <w:rPr>
                <w:color w:val="000000"/>
              </w:rPr>
              <w:t>21.93</w:t>
            </w:r>
          </w:p>
        </w:tc>
      </w:tr>
      <w:tr w:rsidR="009177AB" w14:paraId="6EC91EAF" w14:textId="77777777" w:rsidTr="00F866EA">
        <w:trPr>
          <w:trHeight w:val="280"/>
        </w:trPr>
        <w:tc>
          <w:tcPr>
            <w:tcW w:w="7612" w:type="dxa"/>
            <w:gridSpan w:val="5"/>
            <w:tcBorders>
              <w:top w:val="single" w:sz="4" w:space="0" w:color="000000"/>
              <w:left w:val="nil"/>
              <w:right w:val="nil"/>
            </w:tcBorders>
            <w:shd w:val="clear" w:color="auto" w:fill="auto"/>
            <w:vAlign w:val="bottom"/>
          </w:tcPr>
          <w:p w14:paraId="545C2A21" w14:textId="77777777" w:rsidR="009177AB" w:rsidRDefault="009177AB" w:rsidP="00F866EA">
            <w:pPr>
              <w:spacing w:after="0" w:line="240" w:lineRule="auto"/>
              <w:jc w:val="left"/>
              <w:rPr>
                <w:color w:val="000000"/>
              </w:rPr>
            </w:pPr>
            <w:r>
              <w:t>Note: † = Data not available.</w:t>
            </w:r>
          </w:p>
        </w:tc>
      </w:tr>
    </w:tbl>
    <w:p w14:paraId="7B584A72" w14:textId="77777777" w:rsidR="009177AB" w:rsidRDefault="009177AB" w:rsidP="00C66D5C">
      <w:pPr>
        <w:spacing w:after="0"/>
        <w:ind w:firstLine="720"/>
        <w:jc w:val="left"/>
      </w:pPr>
    </w:p>
    <w:p w14:paraId="3513B817" w14:textId="77777777" w:rsidR="00BE43B8" w:rsidRDefault="00BE43B8" w:rsidP="00C66D5C">
      <w:pPr>
        <w:pStyle w:val="Heading2"/>
        <w:spacing w:after="0"/>
        <w:jc w:val="both"/>
      </w:pPr>
      <w:r>
        <w:t>Measures</w:t>
      </w:r>
    </w:p>
    <w:p w14:paraId="508A0C84" w14:textId="58D79859" w:rsidR="00BE43B8" w:rsidRDefault="00BE43B8" w:rsidP="00C66D5C">
      <w:pPr>
        <w:spacing w:after="0"/>
        <w:ind w:firstLine="720"/>
        <w:jc w:val="left"/>
      </w:pPr>
      <w:r>
        <w:t>The analyses presented below stem from the International Situations Project (ISP), a large cross-cultural study assessing situational experience, daily behavior, and individual differences. Other analyses based on this large and diverse data set have been published (</w:t>
      </w:r>
      <w:r w:rsidR="004A3A35">
        <w:t xml:space="preserve">Baranski et al., in press; </w:t>
      </w:r>
      <w:r>
        <w:t>Gardiner et al., 2019</w:t>
      </w:r>
      <w:r w:rsidR="00056B18">
        <w:t>;</w:t>
      </w:r>
      <w:r w:rsidR="00F6050B">
        <w:t xml:space="preserve"> Lee </w:t>
      </w:r>
      <w:r w:rsidR="009B30B9">
        <w:t>e</w:t>
      </w:r>
      <w:r w:rsidR="00F6050B">
        <w:t>t al., in press</w:t>
      </w:r>
      <w:r>
        <w:t xml:space="preserve">) or are in progress, but all analyses reported in the present article are new and unique. </w:t>
      </w:r>
      <w:r w:rsidR="00010525" w:rsidRPr="00B53FA9">
        <w:t xml:space="preserve">For an overview of the project, </w:t>
      </w:r>
      <w:r w:rsidR="00010525" w:rsidRPr="002B1AE9">
        <w:t xml:space="preserve">including all measures and translations, see </w:t>
      </w:r>
      <w:hyperlink r:id="rId8" w:history="1">
        <w:r w:rsidR="00010525" w:rsidRPr="00B53FA9">
          <w:rPr>
            <w:rStyle w:val="Hyperlink"/>
          </w:rPr>
          <w:t>situationslab.com/the-international-situations-project</w:t>
        </w:r>
      </w:hyperlink>
      <w:r w:rsidR="00010525">
        <w:rPr>
          <w:rStyle w:val="Hyperlink"/>
        </w:rPr>
        <w:t xml:space="preserve">. </w:t>
      </w:r>
      <w:r>
        <w:t xml:space="preserve">Only measures included in the present analyses are described in this article, along with </w:t>
      </w:r>
      <w:r>
        <w:lastRenderedPageBreak/>
        <w:t xml:space="preserve">country-level variables collected previously and separately by other researchers or obtained from public databases. </w:t>
      </w:r>
    </w:p>
    <w:p w14:paraId="1A4E2B29" w14:textId="77777777" w:rsidR="00DC7433" w:rsidRDefault="00BE43B8" w:rsidP="00C66D5C">
      <w:pPr>
        <w:spacing w:after="0"/>
        <w:jc w:val="left"/>
      </w:pPr>
      <w:r w:rsidRPr="00DC7433">
        <w:rPr>
          <w:b/>
          <w:i/>
          <w:iCs/>
        </w:rPr>
        <w:t>Independent Happiness</w:t>
      </w:r>
      <w:r>
        <w:t xml:space="preserve"> </w:t>
      </w:r>
    </w:p>
    <w:p w14:paraId="5B0F0CB4" w14:textId="62C94BF7" w:rsidR="00BE43B8" w:rsidRPr="00AF31F4" w:rsidRDefault="00BE43B8" w:rsidP="00C66D5C">
      <w:pPr>
        <w:spacing w:after="0"/>
        <w:ind w:firstLine="720"/>
        <w:jc w:val="left"/>
      </w:pPr>
      <w:r>
        <w:t>The Western measure of happiness</w:t>
      </w:r>
      <w:r w:rsidR="005E502C">
        <w:t xml:space="preserve"> </w:t>
      </w:r>
      <w:r>
        <w:t xml:space="preserve">was the Subjective Happiness Scale (SHS: Lyubomirsky &amp; Lepper, 1999). The SHS is one of the most widely used measures of happiness in studies </w:t>
      </w:r>
      <w:r w:rsidRPr="00AF31F4">
        <w:t xml:space="preserve">conducted in the US and Europe. The measure has 4 items to which participants respond on a 7-point scale (e.g., “Compared with most of my peers, I consider myself…” 1 = </w:t>
      </w:r>
      <w:r w:rsidRPr="00AF31F4">
        <w:rPr>
          <w:i/>
        </w:rPr>
        <w:t>less happy</w:t>
      </w:r>
      <w:r w:rsidRPr="00AF31F4">
        <w:t xml:space="preserve"> to 7 = </w:t>
      </w:r>
      <w:r w:rsidRPr="00AF31F4">
        <w:rPr>
          <w:i/>
        </w:rPr>
        <w:t>more happy</w:t>
      </w:r>
      <w:r w:rsidRPr="00AF31F4">
        <w:t xml:space="preserve">). </w:t>
      </w:r>
    </w:p>
    <w:p w14:paraId="109BBD37" w14:textId="77777777" w:rsidR="00DC7433" w:rsidRDefault="00BE43B8" w:rsidP="00C66D5C">
      <w:pPr>
        <w:spacing w:after="0"/>
        <w:jc w:val="left"/>
        <w:rPr>
          <w:b/>
        </w:rPr>
      </w:pPr>
      <w:r w:rsidRPr="00DC7433">
        <w:rPr>
          <w:b/>
          <w:i/>
          <w:iCs/>
        </w:rPr>
        <w:t>Interdependent Happiness</w:t>
      </w:r>
    </w:p>
    <w:p w14:paraId="6B672CAE" w14:textId="60574FC2" w:rsidR="00BE43B8" w:rsidRPr="00AF31F4" w:rsidRDefault="009F6F2E" w:rsidP="00C66D5C">
      <w:pPr>
        <w:spacing w:after="0"/>
        <w:ind w:firstLine="720"/>
        <w:jc w:val="left"/>
      </w:pPr>
      <w:r>
        <w:t xml:space="preserve">The Eastern measure of happiness was </w:t>
      </w:r>
      <w:r w:rsidR="00BE43B8" w:rsidRPr="00AF31F4">
        <w:t xml:space="preserve">the Interdependent Happiness Scale (Hitokoto &amp; Uchida, 2015). The IHS was developed in Japan and validated against samples in the United States, Germany, and South Korea. The measure has 9 items to which participants respond on a 5-point scale (e.g., “I believe that my life is just as happy as that of others around me” 1 = </w:t>
      </w:r>
      <w:r w:rsidR="00BE43B8" w:rsidRPr="00AF31F4">
        <w:rPr>
          <w:i/>
        </w:rPr>
        <w:t>strongly disagree</w:t>
      </w:r>
      <w:r w:rsidR="00BE43B8" w:rsidRPr="00AF31F4">
        <w:t xml:space="preserve">, 5 = </w:t>
      </w:r>
      <w:r w:rsidR="00BE43B8" w:rsidRPr="00AF31F4">
        <w:rPr>
          <w:i/>
        </w:rPr>
        <w:t>strongly agree</w:t>
      </w:r>
      <w:r w:rsidR="00BE43B8" w:rsidRPr="00AF31F4">
        <w:t xml:space="preserve">). </w:t>
      </w:r>
    </w:p>
    <w:p w14:paraId="7D62A115" w14:textId="38599627" w:rsidR="00DC7433" w:rsidRDefault="00BE43B8" w:rsidP="00C66D5C">
      <w:pPr>
        <w:spacing w:after="0"/>
        <w:jc w:val="left"/>
      </w:pPr>
      <w:r w:rsidRPr="00DC7433">
        <w:rPr>
          <w:b/>
          <w:i/>
          <w:iCs/>
        </w:rPr>
        <w:t>Country-</w:t>
      </w:r>
      <w:r w:rsidR="00DC7433">
        <w:rPr>
          <w:b/>
          <w:i/>
          <w:iCs/>
        </w:rPr>
        <w:t>L</w:t>
      </w:r>
      <w:r w:rsidRPr="00DC7433">
        <w:rPr>
          <w:b/>
          <w:i/>
          <w:iCs/>
        </w:rPr>
        <w:t xml:space="preserve">evel </w:t>
      </w:r>
      <w:r w:rsidR="00DC7433">
        <w:rPr>
          <w:b/>
          <w:i/>
          <w:iCs/>
        </w:rPr>
        <w:t>V</w:t>
      </w:r>
      <w:r w:rsidRPr="00DC7433">
        <w:rPr>
          <w:b/>
          <w:i/>
          <w:iCs/>
        </w:rPr>
        <w:t>ariables</w:t>
      </w:r>
      <w:r>
        <w:rPr>
          <w:b/>
        </w:rPr>
        <w:t xml:space="preserve"> </w:t>
      </w:r>
    </w:p>
    <w:p w14:paraId="7DBC6416" w14:textId="004CBC23" w:rsidR="00546BB6" w:rsidRDefault="00546BB6" w:rsidP="00C66D5C">
      <w:pPr>
        <w:spacing w:after="0"/>
        <w:ind w:firstLine="720"/>
        <w:jc w:val="left"/>
      </w:pPr>
      <w:r>
        <w:t xml:space="preserve">The current analyses use several country-level variables obtained from publicly available databases. </w:t>
      </w:r>
      <w:r w:rsidR="00475A45">
        <w:t xml:space="preserve">Country level variables were chosen to represent a range of socioecological, geographic, and psychological variables that could be feasibly related to country level differences in the conceptualizations of happiness </w:t>
      </w:r>
      <w:r w:rsidR="00475A45">
        <w:fldChar w:fldCharType="begin" w:fldLock="1"/>
      </w:r>
      <w:r w:rsidR="00475A45">
        <w:instrText>ADDIN CSL_CITATION {"citationItems":[{"id":"ITEM-1","itemData":{"DOI":"10.3389/fpsyg.2020.00536","ISSN":"16641078","abstract":"Geographical psychology aims to study the spatial distribution of psychological phenomenon at different levels of geographical analysis and their relations to macro-level important societal outcomes. The geographical perspective provides a new way of understanding interactions between humankind psychological processes and distal macro-environments. Studies have identified the spatial organizations of a wide range of psychological constructs, including (but not limited among) personality, individualism/collectivism, cultural tightness-looseness, and well-being; these variations have been plotted over a range of geographical units (e.g., neighborhoods, cities, states, and countries) and have been linked to a broad array of political, economic, social, public health, and other social consequences. Future research should employ multi-level analysis, taking advantage of more deliberated causality test methods and big data techniques, to further examine the emerging and evolving mechanisms of geographical differences in psychological phenomena.","author":[{"dropping-particle":"","family":"Chen","given":"Hao","non-dropping-particle":"","parse-names":false,"suffix":""},{"dropping-particle":"","family":"Lai","given":"Kaisheng","non-dropping-particle":"","parse-names":false,"suffix":""},{"dropping-particle":"","family":"He","given":"Lingnan","non-dropping-particle":"","parse-names":false,"suffix":""},{"dropping-particle":"","family":"Yu","given":"Rongjun","non-dropping-particle":"","parse-names":false,"suffix":""}],"container-title":"Frontiers in Psychology","id":"ITEM-1","issue":"March","issued":{"date-parts":[["2020"]]},"page":"1-11","title":"Where You Are Is Who You Are? The Geographical Account of Psychological Phenomena","type":"article-journal","volume":"11"},"uris":["http://www.mendeley.com/documents/?uuid=10c937d6-b545-4704-b485-c885befa25ac"]},{"id":"ITEM-2","itemData":{"DOI":"10.1146/annurev-psych-030413-152156","ISSN":"0066-4308","PMID":"23987114","abstract":"Socioecological psychology investigates humans' cognitive, emotional, and behavioral adaption to physical, interpersonal, economic, and political environments. This article summarizes three types of socioecological psychology research: (a) association studies that link an aspect of social ecology (e.g., population density) with psychology (e.g., prosocial behavior), (b) process studies that clarify why there is an association between social ecology and psychology (e.g., residential mobility → anxiety → familiarity seeking), and (c) niche construction studies that illuminate how psychological states give rise to the creation and maintenance of a social ecology (e.g., familiarity seeking → dominance of national chain stores). Socioecological psychology attempts to bring the objectivist perspective to psychological science, investigating how objective social and physical environments, not just perception and construal of the environments, affect one's thinking, feeling, and behaviors, as well as how people's thinking, feeling, and behaviors give rise to social and built environments. ","author":[{"dropping-particle":"","family":"Oishi","given":"Shigehiro","non-dropping-particle":"","parse-names":false,"suffix":""}],"container-title":"Annual Review of Psychology","id":"ITEM-2","issue":"1","issued":{"date-parts":[["2014"]]},"page":"581-609","title":"Socioecological Psychology","type":"article-journal","volume":"65"},"uris":["http://www.mendeley.com/documents/?uuid=f551fb3f-d4ed-4ced-a4fc-1b9b4b13a515"]}],"mendeley":{"formattedCitation":"(Chen, Lai, He, &amp; Yu, 2020; Oishi, 2014)","plainTextFormattedCitation":"(Chen, Lai, He, &amp; Yu, 2020; Oishi, 2014)","previouslyFormattedCitation":"(Chen, Lai, He, &amp; Yu, 2020; Oishi, 2014)"},"properties":{"noteIndex":0},"schema":"https://github.com/citation-style-language/schema/raw/master/csl-citation.json"}</w:instrText>
      </w:r>
      <w:r w:rsidR="00475A45">
        <w:fldChar w:fldCharType="separate"/>
      </w:r>
      <w:r w:rsidR="00475A45" w:rsidRPr="00546BB6">
        <w:rPr>
          <w:noProof/>
        </w:rPr>
        <w:t>(Chen, Lai, He, &amp; Yu, 2020; Oishi, 2014)</w:t>
      </w:r>
      <w:r w:rsidR="00475A45">
        <w:fldChar w:fldCharType="end"/>
      </w:r>
      <w:r w:rsidR="00475A45">
        <w:t xml:space="preserve">. </w:t>
      </w:r>
      <w:r>
        <w:t>We grouped the country level variables into two categories of “objective” variables (statistics measured by government or other organizations) and “subjective” variables (aggregated from individual responses to psychological measurements). For a complete list of all country scores for each of the listed variables, see Supplementary Materials.</w:t>
      </w:r>
    </w:p>
    <w:p w14:paraId="3F58ABBC" w14:textId="12F8DED8" w:rsidR="00546BB6" w:rsidRDefault="00546BB6" w:rsidP="00C66D5C">
      <w:pPr>
        <w:spacing w:after="0"/>
        <w:ind w:firstLine="720"/>
        <w:jc w:val="left"/>
      </w:pPr>
      <w:r w:rsidRPr="00546BB6">
        <w:rPr>
          <w:b/>
          <w:iCs/>
        </w:rPr>
        <w:lastRenderedPageBreak/>
        <w:t>Objective country-level variables</w:t>
      </w:r>
      <w:r>
        <w:rPr>
          <w:b/>
          <w:i/>
        </w:rPr>
        <w:t xml:space="preserve">. </w:t>
      </w:r>
      <w:r>
        <w:t>A number of “objective” country level variables were chosen to reflect basic characteristics of the country as measured by various organizations</w:t>
      </w:r>
      <w:r w:rsidR="002C3022">
        <w:t xml:space="preserve">, </w:t>
      </w:r>
      <w:r>
        <w:t xml:space="preserve">selected based on plausible relevance to happiness and the availability of data for at least 40 </w:t>
      </w:r>
      <w:r w:rsidR="00156893">
        <w:t xml:space="preserve">of the </w:t>
      </w:r>
      <w:r>
        <w:t>countrie</w:t>
      </w:r>
      <w:r w:rsidR="00156893">
        <w:t>s included in our data</w:t>
      </w:r>
      <w:r>
        <w:t xml:space="preserve">. These variables were also chosen to be as independent from each other as possible, as many country characteristics (e.g., GDP &amp; life expectancy) are highly correlated with each other and would thus produce redundant results. </w:t>
      </w:r>
    </w:p>
    <w:p w14:paraId="47C11BFF" w14:textId="683859F5" w:rsidR="00546BB6" w:rsidRDefault="00E44864" w:rsidP="00C66D5C">
      <w:pPr>
        <w:spacing w:after="0"/>
        <w:ind w:firstLine="720"/>
        <w:jc w:val="left"/>
      </w:pPr>
      <w:r w:rsidRPr="00E44864">
        <w:rPr>
          <w:b/>
          <w:bCs/>
          <w:i/>
        </w:rPr>
        <w:t>Human Development Index (HDI)</w:t>
      </w:r>
      <w:r w:rsidRPr="00E44864">
        <w:rPr>
          <w:b/>
          <w:bCs/>
        </w:rPr>
        <w:t>.</w:t>
      </w:r>
      <w:r>
        <w:t xml:space="preserve"> </w:t>
      </w:r>
      <w:r w:rsidR="00546BB6">
        <w:t xml:space="preserve">The </w:t>
      </w:r>
      <w:r w:rsidR="00546BB6" w:rsidRPr="00E44864">
        <w:rPr>
          <w:iCs/>
        </w:rPr>
        <w:t>Human Development Index (HDI) is</w:t>
      </w:r>
      <w:r w:rsidR="00546BB6">
        <w:t xml:space="preserve"> a composite measure of a country’s development, consisting of life expectancy, educational opportunities, and standard of living (United Nations, 2017). HDI scores were available for all ISP countries except Taiwan. Country HDI scores ranged from .49 (Uganda &amp; Senegal) to .95 (Norway), with higher scores indicating greater economic development. </w:t>
      </w:r>
    </w:p>
    <w:p w14:paraId="565BD12A" w14:textId="4DA90E42" w:rsidR="00546BB6" w:rsidRDefault="00E44864" w:rsidP="00C66D5C">
      <w:pPr>
        <w:spacing w:after="0"/>
        <w:ind w:firstLine="720"/>
        <w:jc w:val="left"/>
      </w:pPr>
      <w:r w:rsidRPr="00E44864">
        <w:rPr>
          <w:b/>
          <w:bCs/>
          <w:i/>
        </w:rPr>
        <w:t>Population density</w:t>
      </w:r>
      <w:r w:rsidRPr="00E44864">
        <w:rPr>
          <w:b/>
          <w:bCs/>
        </w:rPr>
        <w:t>.</w:t>
      </w:r>
      <w:r>
        <w:t xml:space="preserve"> </w:t>
      </w:r>
      <w:r w:rsidR="00546BB6" w:rsidRPr="00E44864">
        <w:rPr>
          <w:iCs/>
        </w:rPr>
        <w:t>Population density is</w:t>
      </w:r>
      <w:r w:rsidR="00546BB6">
        <w:t xml:space="preserve"> the number of people per sq. km of land area (The World Bank, 2017). Population density data was available for all ISP countries except Taiwan; however, both Hong Kong (7,040 people per sq. km) and Singapore (7,916 people per sq. km) were excluded from analyses because their unusually high density skewed the country-level results. The remaining population density scores ranged from 3 people per sq. km (Australia) to 756 people per sq. km (Palestine).  </w:t>
      </w:r>
    </w:p>
    <w:p w14:paraId="1B7415B2" w14:textId="469824E6" w:rsidR="00546BB6" w:rsidRDefault="00E44864" w:rsidP="00C66D5C">
      <w:pPr>
        <w:spacing w:after="0"/>
        <w:ind w:firstLine="720"/>
        <w:jc w:val="left"/>
      </w:pPr>
      <w:r w:rsidRPr="00E44864">
        <w:rPr>
          <w:b/>
          <w:bCs/>
          <w:i/>
        </w:rPr>
        <w:t>Growth rate</w:t>
      </w:r>
      <w:r w:rsidRPr="00E44864">
        <w:rPr>
          <w:b/>
          <w:bCs/>
        </w:rPr>
        <w:t>.</w:t>
      </w:r>
      <w:r>
        <w:t xml:space="preserve"> </w:t>
      </w:r>
      <w:r w:rsidRPr="00E44864">
        <w:rPr>
          <w:iCs/>
        </w:rPr>
        <w:t>Population g</w:t>
      </w:r>
      <w:r w:rsidR="00546BB6" w:rsidRPr="00E44864">
        <w:rPr>
          <w:iCs/>
        </w:rPr>
        <w:t>rowth rate is the</w:t>
      </w:r>
      <w:r w:rsidR="00546BB6">
        <w:t xml:space="preserve"> average annual percent change in population of a country (Central Intelligence Agency, 2017). Growth rate data was available for all ISP countries except Palestine. Country scores ranged from -1.08 (Latvia) to 3.20 (Uganda), with positive scores indicating an increase in population size and negative scores indicating a decrease in population size. </w:t>
      </w:r>
    </w:p>
    <w:p w14:paraId="4F71148C" w14:textId="24D38CBA" w:rsidR="00546BB6" w:rsidRDefault="00E44864" w:rsidP="00C66D5C">
      <w:pPr>
        <w:spacing w:after="0"/>
        <w:ind w:firstLine="720"/>
        <w:jc w:val="left"/>
      </w:pPr>
      <w:r w:rsidRPr="00E44864">
        <w:rPr>
          <w:b/>
          <w:bCs/>
          <w:i/>
        </w:rPr>
        <w:lastRenderedPageBreak/>
        <w:t>Suicide rate</w:t>
      </w:r>
      <w:r>
        <w:t xml:space="preserve">. </w:t>
      </w:r>
      <w:r w:rsidR="00546BB6" w:rsidRPr="00E44864">
        <w:rPr>
          <w:iCs/>
        </w:rPr>
        <w:t>Suicide rate is th</w:t>
      </w:r>
      <w:r w:rsidR="00546BB6">
        <w:t xml:space="preserve">e age-standardized suicide rate per 100,000 people, averaged across sexes (World Health Organization, 2015). Suicide rates were available for 60 ISP countries. Country scores ranged from 2.50 (Pakistan) to 26.10 (Lithuania), with high scores indicating a higher suicide rate. </w:t>
      </w:r>
    </w:p>
    <w:p w14:paraId="402E1241" w14:textId="62CA7F87" w:rsidR="00546BB6" w:rsidRDefault="00E44864" w:rsidP="00C66D5C">
      <w:pPr>
        <w:spacing w:after="0"/>
        <w:ind w:firstLine="720"/>
        <w:jc w:val="left"/>
      </w:pPr>
      <w:r w:rsidRPr="00E44864">
        <w:rPr>
          <w:b/>
          <w:bCs/>
          <w:i/>
        </w:rPr>
        <w:t>Average temperature</w:t>
      </w:r>
      <w:r>
        <w:t xml:space="preserve">. </w:t>
      </w:r>
      <w:r w:rsidR="00546BB6" w:rsidRPr="00E44864">
        <w:rPr>
          <w:iCs/>
        </w:rPr>
        <w:t>Average temperature is the</w:t>
      </w:r>
      <w:r w:rsidR="00546BB6">
        <w:t xml:space="preserve"> average daily temperature throughout the entire year in Celsius (WeatherBase, 2019). Because some larger countries have a wide range of average temperatures depending upon exact location, the average temperature used was that of the cit</w:t>
      </w:r>
      <w:r w:rsidR="00156893">
        <w:t>y or cities</w:t>
      </w:r>
      <w:r w:rsidR="00546BB6">
        <w:t xml:space="preserve"> in which ISP data collection took place. For most countries, only one city was included in the average daily temperature. Data on average daily temperature was available for all 63 ISP countries and ranged from 4ºC (Russia) to 29ºC (Thailand).</w:t>
      </w:r>
      <w:r w:rsidR="00546BB6" w:rsidDel="00E33772">
        <w:t xml:space="preserve"> </w:t>
      </w:r>
      <w:r w:rsidR="00546BB6">
        <w:t xml:space="preserve"> </w:t>
      </w:r>
    </w:p>
    <w:p w14:paraId="6EFDA135" w14:textId="73FFE0AC" w:rsidR="00E44864" w:rsidRPr="00E44864" w:rsidRDefault="00546BB6" w:rsidP="00C66D5C">
      <w:pPr>
        <w:spacing w:after="0"/>
        <w:ind w:firstLine="720"/>
        <w:jc w:val="left"/>
        <w:rPr>
          <w:bCs/>
          <w:iCs/>
        </w:rPr>
      </w:pPr>
      <w:r w:rsidRPr="00546BB6">
        <w:rPr>
          <w:b/>
          <w:iCs/>
        </w:rPr>
        <w:t>Subjective country level variables.</w:t>
      </w:r>
      <w:r>
        <w:rPr>
          <w:b/>
          <w:i/>
        </w:rPr>
        <w:t xml:space="preserve"> </w:t>
      </w:r>
      <w:r w:rsidR="00156893">
        <w:rPr>
          <w:bCs/>
          <w:iCs/>
        </w:rPr>
        <w:t>S</w:t>
      </w:r>
      <w:r w:rsidR="00E44864">
        <w:rPr>
          <w:bCs/>
          <w:iCs/>
        </w:rPr>
        <w:t xml:space="preserve">ubjective country level variables were chosen to reflect the psychological or cultural characteristics of a country. </w:t>
      </w:r>
    </w:p>
    <w:p w14:paraId="38DCC393" w14:textId="1DD9DCB6" w:rsidR="00E44864" w:rsidRPr="00E44864" w:rsidRDefault="00E44864" w:rsidP="00C66D5C">
      <w:pPr>
        <w:spacing w:after="0"/>
        <w:ind w:firstLine="720"/>
        <w:jc w:val="left"/>
      </w:pPr>
      <w:r>
        <w:rPr>
          <w:b/>
          <w:bCs/>
          <w:i/>
        </w:rPr>
        <w:t>WEIRDness</w:t>
      </w:r>
      <w:r w:rsidRPr="006E0A37">
        <w:rPr>
          <w:b/>
          <w:bCs/>
          <w:i/>
        </w:rPr>
        <w:t>.</w:t>
      </w:r>
      <w:r>
        <w:rPr>
          <w:i/>
        </w:rPr>
        <w:t xml:space="preserve"> WEIRD</w:t>
      </w:r>
      <w:r>
        <w:t xml:space="preserve"> country level scores are a measure of cultural distance from the United States (Muthukrishna et al., 2020). As computed by Muthukrishna and colleagues</w:t>
      </w:r>
      <w:r w:rsidR="008D0764">
        <w:t xml:space="preserve"> (2020)</w:t>
      </w:r>
      <w:r>
        <w:t>, the scores reflect a country’s overall dissimilarity to the United States on a range of psychological variables from the World Values Survey</w:t>
      </w:r>
      <w:r w:rsidR="006F0D87">
        <w:t xml:space="preserve"> (WVS)</w:t>
      </w:r>
      <w:r>
        <w:t xml:space="preserve">, including personality traits, cultural values, and tightness/looseness. </w:t>
      </w:r>
      <w:r w:rsidR="00E314BD">
        <w:t xml:space="preserve">These psychological variables were selected by the authors to include all questions </w:t>
      </w:r>
      <w:r w:rsidR="006F0D87">
        <w:t xml:space="preserve">from the WVS </w:t>
      </w:r>
      <w:r w:rsidR="00E314BD">
        <w:t xml:space="preserve">that were judged to be culturally transmissible. </w:t>
      </w:r>
      <w:r w:rsidR="006F0D87">
        <w:t xml:space="preserve">The United States was chosen as the reference group because of the large American dominance in the field of psychology. Psychological distance scores were also calculated for China as a comparison, but were excluded from present analyses </w:t>
      </w:r>
      <w:r w:rsidR="00F0109B">
        <w:t xml:space="preserve">because the comparison measure of interdependent happiness was developed in Japan. Notably, the cultural distance calculated between the United States and Japan was similar to the cultural distance between China and </w:t>
      </w:r>
      <w:r w:rsidR="00F0109B">
        <w:lastRenderedPageBreak/>
        <w:t>Japan</w:t>
      </w:r>
      <w:r w:rsidR="003E6EBB">
        <w:t>, meaning the scores computed for China would not be representative of the cultural similarity to the IHS</w:t>
      </w:r>
      <w:r w:rsidR="00F0109B">
        <w:t xml:space="preserve">. </w:t>
      </w:r>
      <w:r w:rsidR="00047578">
        <w:t>For the cultural distance scores presented for the United States, w</w:t>
      </w:r>
      <w:r>
        <w:t xml:space="preserve">e reversed the country scores to make higher scores indicate </w:t>
      </w:r>
      <w:r w:rsidR="00047578">
        <w:t xml:space="preserve">more similarity and thus </w:t>
      </w:r>
      <w:r>
        <w:t xml:space="preserve">a higher level of “WEIRD-ness” as it was originally conceptualized (i.e., </w:t>
      </w:r>
      <w:r w:rsidR="008D0764">
        <w:t>more Western, Educated, Industrialized, Rich and Democratic</w:t>
      </w:r>
      <w:r w:rsidR="00156893">
        <w:t>,</w:t>
      </w:r>
      <w:r w:rsidR="008D0764">
        <w:t xml:space="preserve"> similar to the United States</w:t>
      </w:r>
      <w:r>
        <w:t>).</w:t>
      </w:r>
      <w:r w:rsidR="008D0764">
        <w:t xml:space="preserve"> </w:t>
      </w:r>
      <w:r w:rsidR="00047578">
        <w:t>C</w:t>
      </w:r>
      <w:r>
        <w:t xml:space="preserve">ultural distance WEIRD scores were available for 46 ISP countries. The </w:t>
      </w:r>
      <w:r w:rsidR="00047578">
        <w:t>‘</w:t>
      </w:r>
      <w:r>
        <w:t>most WEIRD</w:t>
      </w:r>
      <w:r w:rsidR="00047578">
        <w:t>’</w:t>
      </w:r>
      <w:r w:rsidDel="0013109D">
        <w:t xml:space="preserve"> </w:t>
      </w:r>
      <w:r>
        <w:t>countries (most psychologically similar to the United States) were Canada (.9</w:t>
      </w:r>
      <w:r w:rsidR="00F23268">
        <w:t>7</w:t>
      </w:r>
      <w:r>
        <w:t xml:space="preserve">) and Australia (.97), and the least WEIRD countries </w:t>
      </w:r>
      <w:r w:rsidR="00F23268">
        <w:t>was</w:t>
      </w:r>
      <w:r>
        <w:t xml:space="preserve"> Jordan (.8</w:t>
      </w:r>
      <w:r w:rsidR="00F23268">
        <w:t>1</w:t>
      </w:r>
      <w:r>
        <w:t xml:space="preserve">). </w:t>
      </w:r>
    </w:p>
    <w:p w14:paraId="427F27D2" w14:textId="03976BB3" w:rsidR="00546BB6" w:rsidRDefault="00E44864" w:rsidP="00C66D5C">
      <w:pPr>
        <w:spacing w:after="0"/>
        <w:ind w:firstLine="720"/>
        <w:jc w:val="left"/>
      </w:pPr>
      <w:r w:rsidRPr="00E44864">
        <w:rPr>
          <w:b/>
          <w:bCs/>
          <w:i/>
          <w:iCs/>
        </w:rPr>
        <w:t>Cultural Values</w:t>
      </w:r>
      <w:r>
        <w:t xml:space="preserve">. </w:t>
      </w:r>
      <w:r w:rsidR="00546BB6">
        <w:t>Schwartz’s cultural value orientation sc</w:t>
      </w:r>
      <w:r w:rsidR="00156893">
        <w:t>ale</w:t>
      </w:r>
      <w:r w:rsidR="00546BB6">
        <w:t xml:space="preserve">s represent seven distinct bipolar values assessed in national surveys of students and teachers in 80 countries (Schwartz, 2008). The scales </w:t>
      </w:r>
      <w:r w:rsidR="00156893">
        <w:t>measure</w:t>
      </w:r>
      <w:r w:rsidR="00546BB6">
        <w:t xml:space="preserve"> </w:t>
      </w:r>
      <w:r w:rsidR="00546BB6">
        <w:rPr>
          <w:i/>
        </w:rPr>
        <w:t>embeddedness</w:t>
      </w:r>
      <w:r w:rsidR="00546BB6">
        <w:t xml:space="preserve"> (how embedded people are in their groups), </w:t>
      </w:r>
      <w:r w:rsidR="00546BB6">
        <w:rPr>
          <w:i/>
        </w:rPr>
        <w:t>intellectual autonomy</w:t>
      </w:r>
      <w:r w:rsidR="00546BB6">
        <w:t xml:space="preserve"> (the independent pursuit of ideas and knowledge), </w:t>
      </w:r>
      <w:r w:rsidR="00546BB6">
        <w:rPr>
          <w:i/>
        </w:rPr>
        <w:t>affective autonomy</w:t>
      </w:r>
      <w:r w:rsidR="00546BB6">
        <w:t xml:space="preserve"> (the independent pursuit of pleasure), </w:t>
      </w:r>
      <w:r w:rsidR="00546BB6">
        <w:rPr>
          <w:i/>
        </w:rPr>
        <w:t>harmony</w:t>
      </w:r>
      <w:r w:rsidR="00546BB6">
        <w:t xml:space="preserve"> (valuing the group rather than the self), </w:t>
      </w:r>
      <w:r w:rsidR="00546BB6">
        <w:rPr>
          <w:i/>
        </w:rPr>
        <w:t>egalitarianism</w:t>
      </w:r>
      <w:r w:rsidR="00546BB6">
        <w:t xml:space="preserve"> (valuing cooperation and concern for all), </w:t>
      </w:r>
      <w:r w:rsidR="00546BB6">
        <w:rPr>
          <w:i/>
        </w:rPr>
        <w:t>hierarchy</w:t>
      </w:r>
      <w:r w:rsidR="00546BB6">
        <w:t xml:space="preserve"> (reliance on structured and hierarchical social roles), and </w:t>
      </w:r>
      <w:r w:rsidR="00546BB6">
        <w:rPr>
          <w:i/>
        </w:rPr>
        <w:t>mastery</w:t>
      </w:r>
      <w:r w:rsidR="00546BB6">
        <w:t xml:space="preserve"> (valuing success through self-assertion). Country scores for all seven of Schwartz’s cultural values were available for 59 ISP countries. </w:t>
      </w:r>
    </w:p>
    <w:p w14:paraId="33FDAD53" w14:textId="77777777" w:rsidR="00BE43B8" w:rsidRDefault="00BE43B8" w:rsidP="000F1B9C">
      <w:pPr>
        <w:pStyle w:val="Heading2"/>
        <w:spacing w:after="0"/>
        <w:jc w:val="both"/>
      </w:pPr>
      <w:r>
        <w:t>Procedure</w:t>
      </w:r>
    </w:p>
    <w:p w14:paraId="25EF0B2B" w14:textId="032F6776" w:rsidR="00BE43B8" w:rsidRDefault="00BE43B8" w:rsidP="00C66D5C">
      <w:pPr>
        <w:spacing w:after="0"/>
        <w:ind w:firstLine="720"/>
        <w:jc w:val="left"/>
      </w:pPr>
      <w:r>
        <w:t xml:space="preserve">Local collaborators (all of whom were psychologists) translated each of the measures into their local language, which were then back translated into English by an independent translator. The original English </w:t>
      </w:r>
      <w:r w:rsidR="00156893">
        <w:t>version</w:t>
      </w:r>
      <w:r>
        <w:t xml:space="preserve"> was then compared with the back-translated measure and discrepancies were resolved. This method was used to translate all of the research materials into 42 language</w:t>
      </w:r>
      <w:r w:rsidR="00CA44E6">
        <w:t>s</w:t>
      </w:r>
      <w:r>
        <w:t xml:space="preserve">. The local collaborators then recruited participants from their college communities (largely students) to log on to our custom-built website (ispstudy.net) with a unique participant </w:t>
      </w:r>
      <w:r>
        <w:lastRenderedPageBreak/>
        <w:t>ID. They then completed the informed consent process followed by a series of measures, including the happiness measures reported here. Upon completing the survey, participants had the opportunity to receive feedback on their personality trait levels based on their ratings on the personality measure included in the survey (a complete wireframe of the study</w:t>
      </w:r>
      <w:r w:rsidR="0044703E">
        <w:t>’s website</w:t>
      </w:r>
      <w:r>
        <w:t xml:space="preserve"> is available online at </w:t>
      </w:r>
      <w:hyperlink r:id="rId9" w:history="1">
        <w:r w:rsidR="00651A94" w:rsidRPr="00A84477">
          <w:rPr>
            <w:rStyle w:val="Hyperlink"/>
          </w:rPr>
          <w:t>https://osf.io/jrbt3/</w:t>
        </w:r>
      </w:hyperlink>
      <w:r>
        <w:t>).</w:t>
      </w:r>
      <w:r w:rsidR="00651A94">
        <w:t xml:space="preserve"> All procedures were in accordance with the ethical standards of the University of California, Riverside, Office of Research Integrity, who approved this study (HS-11-046), and with the 1964 Helsinki declaration and its later amendments or comparable ethical standards.</w:t>
      </w:r>
    </w:p>
    <w:p w14:paraId="4F7E2D4E" w14:textId="6ABB4ECD" w:rsidR="00431121" w:rsidRDefault="00431121" w:rsidP="000F1B9C">
      <w:pPr>
        <w:pStyle w:val="Heading1"/>
        <w:spacing w:before="0" w:after="0"/>
        <w:jc w:val="both"/>
      </w:pPr>
      <w:r>
        <w:t>Data Analy</w:t>
      </w:r>
      <w:r w:rsidR="000F1B9C">
        <w:t>tic Strategy</w:t>
      </w:r>
    </w:p>
    <w:p w14:paraId="3B83B8D6" w14:textId="291544DB" w:rsidR="00546BB6" w:rsidRDefault="00D47EDA" w:rsidP="00C66D5C">
      <w:pPr>
        <w:spacing w:after="0"/>
        <w:ind w:firstLine="720"/>
        <w:jc w:val="left"/>
      </w:pPr>
      <w:r>
        <w:t xml:space="preserve">Data analyses were separated into </w:t>
      </w:r>
      <w:r w:rsidR="00156893">
        <w:t xml:space="preserve">those at the </w:t>
      </w:r>
      <w:r>
        <w:t>individual level and country level</w:t>
      </w:r>
      <w:r w:rsidR="00D044FD">
        <w:t xml:space="preserve"> to assess how the performance of the happiness measures vary cross-culturally</w:t>
      </w:r>
      <w:r>
        <w:t xml:space="preserve">. The first set of analyses were conducted at the individual level, within each country, and results are presented for </w:t>
      </w:r>
      <w:r w:rsidR="00B37CD0">
        <w:t>all 63</w:t>
      </w:r>
      <w:r>
        <w:t xml:space="preserve"> countr</w:t>
      </w:r>
      <w:r w:rsidR="00B37CD0">
        <w:t>ies</w:t>
      </w:r>
      <w:r>
        <w:t xml:space="preserve">. </w:t>
      </w:r>
      <w:r w:rsidR="00F61649">
        <w:t xml:space="preserve">These individual level analyses include </w:t>
      </w:r>
      <w:r w:rsidR="009F11E8">
        <w:t>several</w:t>
      </w:r>
      <w:r w:rsidR="00F61649">
        <w:t xml:space="preserve"> </w:t>
      </w:r>
      <w:r w:rsidR="002204CB">
        <w:t>internal consistency tests</w:t>
      </w:r>
      <w:r w:rsidR="00914AD4">
        <w:t xml:space="preserve"> </w:t>
      </w:r>
      <w:r w:rsidR="002204CB">
        <w:t xml:space="preserve">including </w:t>
      </w:r>
      <w:r w:rsidR="00914AD4">
        <w:t>general factor saturation</w:t>
      </w:r>
      <w:r w:rsidR="00D85097">
        <w:t xml:space="preserve"> (</w:t>
      </w:r>
      <w:r w:rsidR="00D85097" w:rsidRPr="009409E4">
        <w:rPr>
          <w:i/>
          <w:iCs/>
        </w:rPr>
        <w:t>ω</w:t>
      </w:r>
      <w:r w:rsidR="00D85097" w:rsidRPr="009409E4">
        <w:rPr>
          <w:i/>
          <w:iCs/>
          <w:vertAlign w:val="subscript"/>
        </w:rPr>
        <w:t>h</w:t>
      </w:r>
      <w:r w:rsidR="00D85097">
        <w:t>)</w:t>
      </w:r>
      <w:r w:rsidR="00914AD4">
        <w:t xml:space="preserve"> and total common variance</w:t>
      </w:r>
      <w:r w:rsidR="00D85097">
        <w:t xml:space="preserve"> (</w:t>
      </w:r>
      <w:r w:rsidR="00D85097" w:rsidRPr="009409E4">
        <w:rPr>
          <w:i/>
          <w:iCs/>
        </w:rPr>
        <w:t>ω</w:t>
      </w:r>
      <w:r w:rsidR="00D85097" w:rsidRPr="009409E4">
        <w:rPr>
          <w:i/>
          <w:iCs/>
          <w:vertAlign w:val="subscript"/>
        </w:rPr>
        <w:t>t</w:t>
      </w:r>
      <w:r w:rsidR="00D85097">
        <w:t>)</w:t>
      </w:r>
      <w:r w:rsidR="00914AD4">
        <w:t xml:space="preserve"> </w:t>
      </w:r>
      <w:r w:rsidR="00D83553">
        <w:fldChar w:fldCharType="begin" w:fldLock="1"/>
      </w:r>
      <w:r w:rsidR="00546BB6">
        <w:instrText>ADDIN CSL_CITATION {"citationItems":[{"id":"ITEM-1","itemData":{"DOI":"10.1037/pas0000754","ISSN":"1939134X","abstract":"Reliability is a fundamental problem for measurement in all of science. Although defined in multiple ways, and estimated in even more ways, the basic concepts seem straightforward and need to be understood by practitioners as well as methodologists. Reliability theory is not just for the psychometrician estimating latent variables, it is for everyone who wants to make inferences from measures of individuals or of groups. For the case of a single test administration, we consider multiple measures of reliability, ranging from the worst (β) to average (α, λ3) to best (λ4) split half reliabilities, and consider why model-based estimates (ωh, ωt) should be reported. We also address the utility of test-retest and alternate form reliabilities. The advantages of immediate versus delayed retests to decompose observed score variance into specific, state, and trait scores are discussed. But reliability is not just for test scores, it is also important when evaluating the use of ratings. Estimates that may be applied to continuous data include a set of intraclass correlations while discrete categorical data needs to take advantage of the family of κ statistics. Examples of these various reliability estimates are given using state and trait measures of anxiety given with different delays and under different conditions. An online supplemental materials is provided with more detail and elaboration. The online supplemental materials is also used to demonstrate applications of open source software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Assessment","id":"ITEM-1","issue":"12","issued":{"date-parts":[["2019"]]},"page":"1395-1411","title":"Reliability from α to ω: A tutorial","type":"article-journal","volume":"31"},"uris":["http://www.mendeley.com/documents/?uuid=5d742a7a-daa4-4bfc-99f5-16aee31e128a"]}],"mendeley":{"formattedCitation":"(Revelle &amp; Condon, 2019)","plainTextFormattedCitation":"(Revelle &amp; Condon, 2019)","previouslyFormattedCitation":"(Revelle &amp; Condon, 2019)"},"properties":{"noteIndex":0},"schema":"https://github.com/citation-style-language/schema/raw/master/csl-citation.json"}</w:instrText>
      </w:r>
      <w:r w:rsidR="00D83553">
        <w:fldChar w:fldCharType="separate"/>
      </w:r>
      <w:r w:rsidR="00D83553" w:rsidRPr="00D83553">
        <w:rPr>
          <w:noProof/>
        </w:rPr>
        <w:t>(Revelle &amp; Condon, 2019)</w:t>
      </w:r>
      <w:r w:rsidR="00D83553">
        <w:fldChar w:fldCharType="end"/>
      </w:r>
      <w:r w:rsidR="00914AD4">
        <w:t xml:space="preserve">. Additionally, because the two happiness </w:t>
      </w:r>
      <w:r w:rsidR="00D83553">
        <w:t>measures have an unequal number of items, we present the average communality score</w:t>
      </w:r>
      <w:r w:rsidR="00D85097">
        <w:t xml:space="preserve"> </w:t>
      </w:r>
      <w:r w:rsidR="00D85097" w:rsidRPr="00582CB8">
        <w:t>(</w:t>
      </w:r>
      <m:oMath>
        <m:acc>
          <m:accPr>
            <m:chr m:val="̅"/>
            <m:ctrlPr>
              <w:rPr>
                <w:rFonts w:ascii="Cambria Math" w:hAnsi="Cambria Math"/>
                <w:i/>
                <w:iCs/>
              </w:rPr>
            </m:ctrlPr>
          </m:accPr>
          <m:e>
            <m:r>
              <w:rPr>
                <w:rFonts w:ascii="Cambria Math" w:hAnsi="Cambria Math"/>
              </w:rPr>
              <m:t>h</m:t>
            </m:r>
          </m:e>
        </m:acc>
      </m:oMath>
      <w:r w:rsidR="00582CB8" w:rsidRPr="00582CB8">
        <w:rPr>
          <w:vertAlign w:val="superscript"/>
        </w:rPr>
        <w:t>2</w:t>
      </w:r>
      <w:r w:rsidR="00D85097" w:rsidRPr="00582CB8">
        <w:t>)</w:t>
      </w:r>
      <w:r w:rsidR="00D83553">
        <w:t xml:space="preserve"> and the smallest split half reliability</w:t>
      </w:r>
      <w:r w:rsidR="00D85097">
        <w:t xml:space="preserve"> (</w:t>
      </w:r>
      <w:r w:rsidR="00D85097" w:rsidRPr="009409E4">
        <w:rPr>
          <w:i/>
          <w:iCs/>
        </w:rPr>
        <w:t>β</w:t>
      </w:r>
      <w:r w:rsidR="00D85097">
        <w:t>)</w:t>
      </w:r>
      <w:r w:rsidR="00D83553">
        <w:t xml:space="preserve"> score for each measure.</w:t>
      </w:r>
      <w:r w:rsidR="0028289B">
        <w:t xml:space="preserve"> </w:t>
      </w:r>
      <w:r w:rsidR="00E96B6E">
        <w:t xml:space="preserve">These tests of reliability were all conducted separately within each country and then averaged within geographic and cultural regions. </w:t>
      </w:r>
      <w:r w:rsidR="0028289B">
        <w:t xml:space="preserve">To test for the </w:t>
      </w:r>
      <w:r w:rsidR="00D044FD">
        <w:t>association</w:t>
      </w:r>
      <w:r w:rsidR="0028289B">
        <w:t xml:space="preserve"> </w:t>
      </w:r>
      <w:r w:rsidR="00D044FD">
        <w:t>between</w:t>
      </w:r>
      <w:r w:rsidR="009F11E8">
        <w:t xml:space="preserve"> the</w:t>
      </w:r>
      <w:r w:rsidR="0028289B">
        <w:t xml:space="preserve"> </w:t>
      </w:r>
      <w:r w:rsidR="00D044FD">
        <w:t xml:space="preserve">two </w:t>
      </w:r>
      <w:r w:rsidR="0028289B">
        <w:t>happiness measures within each country, we used Structural Equation Modeling (SEM) to account for measurement error.</w:t>
      </w:r>
      <w:r w:rsidR="00D83553">
        <w:t xml:space="preserve"> </w:t>
      </w:r>
      <w:r w:rsidR="00C75E3F">
        <w:t>Readers interested in comparing the mean levels of the happiness measures across countries may reference the Supplementary Materials</w:t>
      </w:r>
      <w:r w:rsidR="007F3F7B">
        <w:t>,</w:t>
      </w:r>
      <w:r w:rsidR="00C75E3F">
        <w:t xml:space="preserve"> but those scores were not included in any of the present analyses. </w:t>
      </w:r>
    </w:p>
    <w:p w14:paraId="57E07FF4" w14:textId="5F342AA2" w:rsidR="00B71689" w:rsidRDefault="00AA1CDC" w:rsidP="00C66D5C">
      <w:pPr>
        <w:spacing w:after="0"/>
        <w:jc w:val="left"/>
      </w:pPr>
      <w:r>
        <w:lastRenderedPageBreak/>
        <w:tab/>
      </w:r>
      <w:r w:rsidR="0028289B">
        <w:t xml:space="preserve">Because </w:t>
      </w:r>
      <w:r w:rsidR="00C75E3F">
        <w:t xml:space="preserve">results are presented for </w:t>
      </w:r>
      <w:r w:rsidR="0028289B">
        <w:t xml:space="preserve">many countries here, the second set of analyses attempts to find patterns in the data by analyzing relationships between variables on the </w:t>
      </w:r>
      <w:r w:rsidR="0028289B" w:rsidRPr="00080D65">
        <w:rPr>
          <w:i/>
          <w:iCs/>
        </w:rPr>
        <w:t>country level</w:t>
      </w:r>
      <w:r w:rsidR="0028289B">
        <w:t xml:space="preserve">. </w:t>
      </w:r>
      <w:r w:rsidR="00F1576F">
        <w:t xml:space="preserve">Specifically, what country level variables are associated with higher or lower reliability of the happiness measures. </w:t>
      </w:r>
      <w:r w:rsidR="0028289B">
        <w:t>These country level tests use the individual level analyses presented within each country a</w:t>
      </w:r>
      <w:r w:rsidR="001B1420">
        <w:t xml:space="preserve">s well as </w:t>
      </w:r>
      <w:r w:rsidR="004502BC">
        <w:t>country level data</w:t>
      </w:r>
      <w:r w:rsidR="00A761FA">
        <w:t xml:space="preserve"> collected </w:t>
      </w:r>
      <w:r w:rsidR="00A11FBE">
        <w:t>independently from the current study</w:t>
      </w:r>
      <w:r w:rsidR="009F11E8">
        <w:t>,</w:t>
      </w:r>
      <w:r w:rsidR="00A11FBE">
        <w:t xml:space="preserve"> to reduce method bias </w:t>
      </w:r>
      <w:r w:rsidR="001B1420">
        <w:fldChar w:fldCharType="begin" w:fldLock="1"/>
      </w:r>
      <w:r w:rsidR="00BE4C9A">
        <w:instrText>ADDIN CSL_CITATION {"citationItems":[{"id":"ITEM-1","itemData":{"DOI":"10.1177/0022022104264126","ISBN":"0022022104","ISSN":"00220221","abstract":"In cross-cultural studies with social variables such as values or attitudes, it is often assumed that differences in scores can be compared at face value. However, response styles like acquiescence and extreme response style may affect answers, particularly on rating scales. In three sets of data from marketing studies, each with representative samples from at least three out of six countries (Greece, Italy, Spain, France, Germany, and the United Kingdom), these two response styles were found to be more present in the Mediterranean than in Northwestern Europe. Evidence for response style effects was not only found in response distributions on rating scales, but also in discrepancies of these distributions with national consumer statistics and self-reported actual behavior.","author":[{"dropping-particle":"","family":"Herk","given":"Hester","non-dropping-particle":"van","parse-names":false,"suffix":""},{"dropping-particle":"","family":"Poortinga","given":"Ype H.","non-dropping-particle":"","parse-names":false,"suffix":""},{"dropping-particle":"","family":"Verhallen","given":"Theo M.M.","non-dropping-particle":"","parse-names":false,"suffix":""}],"container-title":"Journal of Cross-Cultural Psychology","id":"ITEM-1","issue":"3","issued":{"date-parts":[["2004"]]},"page":"346-360","title":"Response styles in rating scales: Evidence of method bias in data from six EU countries","type":"article-journal","volume":"35"},"uris":["http://www.mendeley.com/documents/?uuid=cc7861b7-4358-4974-970f-a141371c78cf"]}],"mendeley":{"formattedCitation":"(van Herk, Poortinga, &amp; Verhallen, 2004)","plainTextFormattedCitation":"(van Herk, Poortinga, &amp; Verhallen, 2004)","previouslyFormattedCitation":"(van Herk, Poortinga, &amp; Verhallen, 2004)"},"properties":{"noteIndex":0},"schema":"https://github.com/citation-style-language/schema/raw/master/csl-citation.json"}</w:instrText>
      </w:r>
      <w:r w:rsidR="001B1420">
        <w:fldChar w:fldCharType="separate"/>
      </w:r>
      <w:r w:rsidR="001B1420" w:rsidRPr="001B1420">
        <w:rPr>
          <w:noProof/>
        </w:rPr>
        <w:t>(van Herk, Poortinga, &amp; Verhallen, 2004)</w:t>
      </w:r>
      <w:r w:rsidR="001B1420">
        <w:fldChar w:fldCharType="end"/>
      </w:r>
      <w:r w:rsidR="00A11FBE">
        <w:t xml:space="preserve">. </w:t>
      </w:r>
      <w:r w:rsidR="00B10DE7">
        <w:t xml:space="preserve">Given the </w:t>
      </w:r>
      <w:r w:rsidR="001B5CA5">
        <w:t>potential for spurious country</w:t>
      </w:r>
      <w:r w:rsidR="0044703E">
        <w:t>-</w:t>
      </w:r>
      <w:r w:rsidR="001B5CA5">
        <w:t>level correlations due to the high number of potential relationships being tested</w:t>
      </w:r>
      <w:r w:rsidR="00A54427">
        <w:t xml:space="preserve"> and the subjective</w:t>
      </w:r>
      <w:r w:rsidR="009F11E8">
        <w:t xml:space="preserve"> manner in which</w:t>
      </w:r>
      <w:r w:rsidR="00A54427">
        <w:t xml:space="preserve"> external country variables</w:t>
      </w:r>
      <w:r w:rsidR="009F11E8">
        <w:t xml:space="preserve"> were selected</w:t>
      </w:r>
      <w:r w:rsidR="001B5CA5">
        <w:t>, randomization tests determine</w:t>
      </w:r>
      <w:r w:rsidR="009F11E8">
        <w:t>d</w:t>
      </w:r>
      <w:r w:rsidR="001B5CA5">
        <w:t xml:space="preserve"> the number of relationships </w:t>
      </w:r>
      <w:r w:rsidR="009F11E8">
        <w:t>expected by chance</w:t>
      </w:r>
      <w:r w:rsidR="001B5CA5">
        <w:t xml:space="preserve"> </w:t>
      </w:r>
      <w:r w:rsidR="001B5CA5">
        <w:fldChar w:fldCharType="begin" w:fldLock="1"/>
      </w:r>
      <w:r w:rsidR="001B1420">
        <w:instrText>ADDIN CSL_CITATION {"citationItems":[{"id":"ITEM-1","itemData":{"DOI":"10.1016/j.jrp.2009.05.010","ISBN":"00926566","ISSN":"00926566","abstract":"When large numbers of statistical tests are computed, such as in broad investigations of personality and behavior, the number of significant findings required before the total can be confidently considered beyond chance is typically unknown. Employing modern software, specially written code, and new procedures, the present article uses three sets of personality data to demonstrate how approximate randomization tests can evaluate (a) the number of significant correlations between a single variable and a large number of other variables, (b) the number of significant correlations between two large sets of variables, and (c) the average size of a large number of effects. Randomization tests can free researchers to fully explore large data sets and potentially have even wider applicability. ?? 2009 Elsevier Inc. All rights reserved.","author":[{"dropping-particle":"","family":"Sherman","given":"Ryne A.","non-dropping-particle":"","parse-names":false,"suffix":""},{"dropping-particle":"","family":"Funder","given":"David C.","non-dropping-particle":"","parse-names":false,"suffix":""}],"container-title":"Journal of Research in Personality","id":"ITEM-1","issue":"6","issued":{"date-parts":[["2009"]]},"page":"1053-1063","title":"Evaluating correlations in studies of personality and behavior: Beyond the number of significant findings to be expected by chance","type":"article-journal","volume":"43"},"uris":["http://www.mendeley.com/documents/?uuid=1d90452e-4e73-4062-8758-263cb3be78bb"]}],"mendeley":{"formattedCitation":"(Sherman &amp; Funder, 2009)","plainTextFormattedCitation":"(Sherman &amp; Funder, 2009)","previouslyFormattedCitation":"(Sherman &amp; Funder, 2009)"},"properties":{"noteIndex":0},"schema":"https://github.com/citation-style-language/schema/raw/master/csl-citation.json"}</w:instrText>
      </w:r>
      <w:r w:rsidR="001B5CA5">
        <w:fldChar w:fldCharType="separate"/>
      </w:r>
      <w:r w:rsidR="001B5CA5" w:rsidRPr="001B5CA5">
        <w:rPr>
          <w:noProof/>
        </w:rPr>
        <w:t>(Sherman &amp; Funder, 2009)</w:t>
      </w:r>
      <w:r w:rsidR="001B5CA5">
        <w:fldChar w:fldCharType="end"/>
      </w:r>
      <w:r w:rsidR="001B5CA5">
        <w:t xml:space="preserve">. </w:t>
      </w:r>
      <w:r w:rsidR="001D190A">
        <w:t>Out of a total of 1</w:t>
      </w:r>
      <w:r w:rsidR="0049153E">
        <w:t>17</w:t>
      </w:r>
      <w:r w:rsidR="001D190A">
        <w:t xml:space="preserve"> possible correlations </w:t>
      </w:r>
      <w:r w:rsidR="00586CA7">
        <w:t xml:space="preserve">(9 averaged individual level values, 13 external country level values) </w:t>
      </w:r>
      <w:r w:rsidR="0049153E">
        <w:t xml:space="preserve">about </w:t>
      </w:r>
      <w:r w:rsidR="00360348">
        <w:t>7</w:t>
      </w:r>
      <w:r w:rsidR="001D190A">
        <w:t xml:space="preserve"> </w:t>
      </w:r>
      <w:r w:rsidR="009F11E8">
        <w:t>were</w:t>
      </w:r>
      <w:r w:rsidR="001D190A">
        <w:t xml:space="preserve"> expected to be significant by chance. The number of observed statistically significant correlations in the data is </w:t>
      </w:r>
      <w:r w:rsidR="0049153E">
        <w:t>4</w:t>
      </w:r>
      <w:r w:rsidR="00360348">
        <w:t>4</w:t>
      </w:r>
      <w:r w:rsidR="001D190A">
        <w:t xml:space="preserve"> (</w:t>
      </w:r>
      <w:r w:rsidR="001D190A" w:rsidRPr="001D190A">
        <w:rPr>
          <w:i/>
          <w:iCs/>
        </w:rPr>
        <w:t>p</w:t>
      </w:r>
      <w:r w:rsidR="001D190A">
        <w:t xml:space="preserve"> </w:t>
      </w:r>
      <w:r w:rsidR="0049153E">
        <w:t>&lt;</w:t>
      </w:r>
      <w:r w:rsidR="001D190A">
        <w:t xml:space="preserve"> .00</w:t>
      </w:r>
      <w:r w:rsidR="0049153E">
        <w:t>1</w:t>
      </w:r>
      <w:r w:rsidR="001D190A">
        <w:t xml:space="preserve">), with an average absolute </w:t>
      </w:r>
      <w:r w:rsidR="001D190A" w:rsidRPr="001D190A">
        <w:rPr>
          <w:i/>
          <w:iCs/>
        </w:rPr>
        <w:t>r</w:t>
      </w:r>
      <w:r w:rsidR="001D190A">
        <w:t xml:space="preserve"> = .2</w:t>
      </w:r>
      <w:r w:rsidR="00360348">
        <w:t>5</w:t>
      </w:r>
      <w:r w:rsidR="001D190A">
        <w:t xml:space="preserve"> (</w:t>
      </w:r>
      <w:r w:rsidR="001D190A" w:rsidRPr="0049153E">
        <w:rPr>
          <w:i/>
          <w:iCs/>
        </w:rPr>
        <w:t>p</w:t>
      </w:r>
      <w:r w:rsidR="001D190A">
        <w:t xml:space="preserve"> &lt; .001</w:t>
      </w:r>
      <w:r w:rsidR="00EF6099">
        <w:t xml:space="preserve">, expected average absolute </w:t>
      </w:r>
      <w:r w:rsidR="00EF6099" w:rsidRPr="00EF6099">
        <w:rPr>
          <w:i/>
          <w:iCs/>
        </w:rPr>
        <w:t>r</w:t>
      </w:r>
      <w:r w:rsidR="00EF6099">
        <w:t xml:space="preserve"> = .13</w:t>
      </w:r>
      <w:r w:rsidR="001D190A">
        <w:t xml:space="preserve">). </w:t>
      </w:r>
    </w:p>
    <w:p w14:paraId="7D8B5F76" w14:textId="58051D82" w:rsidR="00431121" w:rsidRPr="00431121" w:rsidRDefault="00B71689" w:rsidP="00C66D5C">
      <w:pPr>
        <w:spacing w:after="0"/>
        <w:ind w:firstLine="720"/>
        <w:jc w:val="left"/>
      </w:pPr>
      <w:r>
        <w:t>Both individual and country level a</w:t>
      </w:r>
      <w:r w:rsidR="00C00691">
        <w:t xml:space="preserve">nalyses were conducted in R using the </w:t>
      </w:r>
      <w:r w:rsidR="00C00691" w:rsidRPr="002C5209">
        <w:rPr>
          <w:i/>
          <w:iCs/>
        </w:rPr>
        <w:t>psych</w:t>
      </w:r>
      <w:r w:rsidR="00B10DE7">
        <w:rPr>
          <w:i/>
          <w:iCs/>
        </w:rPr>
        <w:t xml:space="preserve"> </w:t>
      </w:r>
      <w:r w:rsidR="00B10DE7" w:rsidRPr="002C5209">
        <w:t>(Revelle, 2019a)</w:t>
      </w:r>
      <w:r w:rsidR="00B10DE7">
        <w:rPr>
          <w:i/>
          <w:iCs/>
        </w:rPr>
        <w:t>, multicon</w:t>
      </w:r>
      <w:r w:rsidR="007C7FAB">
        <w:rPr>
          <w:i/>
          <w:iCs/>
        </w:rPr>
        <w:t xml:space="preserve"> </w:t>
      </w:r>
      <w:r w:rsidR="007C7FAB">
        <w:t>(Sherman, 2011)</w:t>
      </w:r>
      <w:r w:rsidR="00B10DE7">
        <w:rPr>
          <w:i/>
          <w:iCs/>
        </w:rPr>
        <w:t xml:space="preserve">, </w:t>
      </w:r>
      <w:r w:rsidR="00B10DE7" w:rsidRPr="00B10DE7">
        <w:t>and</w:t>
      </w:r>
      <w:r w:rsidR="00B10DE7">
        <w:rPr>
          <w:i/>
          <w:iCs/>
        </w:rPr>
        <w:t xml:space="preserve"> lavaan</w:t>
      </w:r>
      <w:r w:rsidR="007C7FAB">
        <w:rPr>
          <w:i/>
          <w:iCs/>
        </w:rPr>
        <w:t xml:space="preserve"> </w:t>
      </w:r>
      <w:r w:rsidR="007C7FAB">
        <w:t>(Rosseel, 2012)</w:t>
      </w:r>
      <w:r w:rsidR="00C00691">
        <w:t xml:space="preserve"> package</w:t>
      </w:r>
      <w:r w:rsidR="00B10DE7">
        <w:t>s</w:t>
      </w:r>
      <w:r w:rsidR="00C00691">
        <w:t xml:space="preserve">. </w:t>
      </w:r>
      <w:r w:rsidR="00324A62" w:rsidRPr="00324A62">
        <w:t xml:space="preserve">All data and R code necessary to recreate the analyses presented here are available </w:t>
      </w:r>
      <w:r w:rsidR="00324A62">
        <w:t xml:space="preserve">on the OSF </w:t>
      </w:r>
      <w:r w:rsidR="002F3112">
        <w:t xml:space="preserve">project </w:t>
      </w:r>
      <w:r w:rsidR="00324A62">
        <w:t>page</w:t>
      </w:r>
      <w:r w:rsidR="00324A62" w:rsidRPr="00324A62">
        <w:t xml:space="preserve"> </w:t>
      </w:r>
      <w:r w:rsidR="00324A62">
        <w:t>(</w:t>
      </w:r>
      <w:r w:rsidR="007A55D0" w:rsidRPr="007A55D0">
        <w:t>https://osf.io/jrbt3/</w:t>
      </w:r>
      <w:r w:rsidR="00324A62">
        <w:t>).</w:t>
      </w:r>
    </w:p>
    <w:p w14:paraId="5E8C2512" w14:textId="3810D4C7" w:rsidR="00BE43B8" w:rsidRDefault="00BE43B8" w:rsidP="00C66D5C">
      <w:pPr>
        <w:pStyle w:val="Heading1"/>
        <w:spacing w:before="0" w:after="0"/>
      </w:pPr>
      <w:r>
        <w:t>Results</w:t>
      </w:r>
    </w:p>
    <w:p w14:paraId="41770313" w14:textId="35866486" w:rsidR="00BE43B8" w:rsidRDefault="00BE43B8" w:rsidP="00C66D5C">
      <w:pPr>
        <w:pStyle w:val="Heading2"/>
        <w:spacing w:after="0"/>
        <w:jc w:val="both"/>
      </w:pPr>
      <w:r>
        <w:t>Individual Level Happiness Measure Analyses within Each Country</w:t>
      </w:r>
    </w:p>
    <w:p w14:paraId="72C049F4" w14:textId="0022D9F6" w:rsidR="00DE1B22" w:rsidRPr="00DE1B22" w:rsidRDefault="00DE1B22" w:rsidP="00C66D5C">
      <w:pPr>
        <w:spacing w:after="0"/>
        <w:jc w:val="left"/>
        <w:rPr>
          <w:b/>
          <w:bCs/>
          <w:i/>
          <w:iCs/>
        </w:rPr>
      </w:pPr>
      <w:r w:rsidRPr="00DE1B22">
        <w:rPr>
          <w:b/>
          <w:bCs/>
          <w:i/>
          <w:iCs/>
        </w:rPr>
        <w:t>Reliability of the Happiness Measures</w:t>
      </w:r>
    </w:p>
    <w:p w14:paraId="2784A9D2" w14:textId="0522DB0A" w:rsidR="00485B29" w:rsidRDefault="00485B29" w:rsidP="00C66D5C">
      <w:pPr>
        <w:spacing w:after="0"/>
        <w:ind w:firstLine="720"/>
        <w:jc w:val="left"/>
      </w:pPr>
      <w:r>
        <w:t xml:space="preserve">The first set of individual level analyses concern the </w:t>
      </w:r>
      <w:r w:rsidR="00DE1B22">
        <w:t>reliability of the happiness measures within each country</w:t>
      </w:r>
      <w:r w:rsidR="00D36513">
        <w:t xml:space="preserve">. We present multiple tests of internal consistency using the broad approach </w:t>
      </w:r>
      <w:r w:rsidR="003C6A3B">
        <w:t xml:space="preserve">prescribed by </w:t>
      </w:r>
      <w:r w:rsidR="00BE4C9A">
        <w:t xml:space="preserve">generalizability theory </w:t>
      </w:r>
      <w:r w:rsidR="00BE4C9A">
        <w:fldChar w:fldCharType="begin" w:fldLock="1"/>
      </w:r>
      <w:r w:rsidR="00865E7D">
        <w:instrText>ADDIN CSL_CITATION {"citationItems":[{"id":"ITEM-1","itemData":{"DOI":"10.1037/pas0000754","ISSN":"1939134X","abstract":"Reliability is a fundamental problem for measurement in all of science. Although defined in multiple ways, and estimated in even more ways, the basic concepts seem straightforward and need to be understood by practitioners as well as methodologists. Reliability theory is not just for the psychometrician estimating latent variables, it is for everyone who wants to make inferences from measures of individuals or of groups. For the case of a single test administration, we consider multiple measures of reliability, ranging from the worst (β) to average (α, λ3) to best (λ4) split half reliabilities, and consider why model-based estimates (ωh, ωt) should be reported. We also address the utility of test-retest and alternate form reliabilities. The advantages of immediate versus delayed retests to decompose observed score variance into specific, state, and trait scores are discussed. But reliability is not just for test scores, it is also important when evaluating the use of ratings. Estimates that may be applied to continuous data include a set of intraclass correlations while discrete categorical data needs to take advantage of the family of κ statistics. Examples of these various reliability estimates are given using state and trait measures of anxiety given with different delays and under different conditions. An online supplemental materials is provided with more detail and elaboration. The online supplemental materials is also used to demonstrate applications of open source software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Assessment","id":"ITEM-1","issue":"12","issued":{"date-parts":[["2019"]]},"page":"1395-1411","title":"Reliability from α to ω: A tutorial","type":"article-journal","volume":"31"},"uris":["http://www.mendeley.com/documents/?uuid=5d742a7a-daa4-4bfc-99f5-16aee31e128a"]}],"mendeley":{"formattedCitation":"(Revelle &amp; Condon, 2019)","plainTextFormattedCitation":"(Revelle &amp; Condon, 2019)","previouslyFormattedCitation":"(Revelle &amp; Condon, 2019)"},"properties":{"noteIndex":0},"schema":"https://github.com/citation-style-language/schema/raw/master/csl-citation.json"}</w:instrText>
      </w:r>
      <w:r w:rsidR="00BE4C9A">
        <w:fldChar w:fldCharType="separate"/>
      </w:r>
      <w:r w:rsidR="00BE4C9A" w:rsidRPr="00BE4C9A">
        <w:rPr>
          <w:noProof/>
        </w:rPr>
        <w:t>(Revelle &amp; Condon, 2019)</w:t>
      </w:r>
      <w:r w:rsidR="00BE4C9A">
        <w:fldChar w:fldCharType="end"/>
      </w:r>
      <w:r w:rsidR="00DE1B22">
        <w:t xml:space="preserve">. </w:t>
      </w:r>
      <w:r w:rsidR="007B42F2">
        <w:t xml:space="preserve">Each result is presented for </w:t>
      </w:r>
      <w:r w:rsidR="007B42F2">
        <w:lastRenderedPageBreak/>
        <w:t xml:space="preserve">each country, </w:t>
      </w:r>
      <w:r w:rsidR="003C6A3B">
        <w:t xml:space="preserve">considering each as </w:t>
      </w:r>
      <w:r w:rsidR="007B42F2">
        <w:t>a separate sample</w:t>
      </w:r>
      <w:r w:rsidR="00D0596B">
        <w:t>, as well as the average across all countries</w:t>
      </w:r>
      <w:r w:rsidR="007B42F2">
        <w:t xml:space="preserve">. </w:t>
      </w:r>
      <w:r w:rsidR="00336D26">
        <w:t>The internal consistency scores for the Subjective Happiness Scale (SHS) are presented in Table 2 and the internal consistency scores for the Interdependent Happiness Scale (IHS) are presented in Table 3.</w:t>
      </w:r>
      <w:r w:rsidR="00F5229F">
        <w:t xml:space="preserve"> Averages of these countries</w:t>
      </w:r>
      <w:r w:rsidR="003C6A3B">
        <w:t>’</w:t>
      </w:r>
      <w:r w:rsidR="00F5229F">
        <w:t xml:space="preserve"> scores</w:t>
      </w:r>
      <w:r w:rsidR="00A5066F">
        <w:t xml:space="preserve"> for both happiness measures </w:t>
      </w:r>
      <w:r w:rsidR="00F5229F">
        <w:t xml:space="preserve">within geographic regions are presented in Table 4 (see </w:t>
      </w:r>
      <w:r w:rsidR="0021398F">
        <w:t>Table 1</w:t>
      </w:r>
      <w:r w:rsidR="00F5229F">
        <w:t xml:space="preserve"> for a list of countries </w:t>
      </w:r>
      <w:r w:rsidR="00386A9C">
        <w:t xml:space="preserve">and their corresponding </w:t>
      </w:r>
      <w:r w:rsidR="00F5229F">
        <w:t xml:space="preserve">region). </w:t>
      </w:r>
    </w:p>
    <w:tbl>
      <w:tblPr>
        <w:tblW w:w="7409" w:type="dxa"/>
        <w:tblLook w:val="04A0" w:firstRow="1" w:lastRow="0" w:firstColumn="1" w:lastColumn="0" w:noHBand="0" w:noVBand="1"/>
      </w:tblPr>
      <w:tblGrid>
        <w:gridCol w:w="1923"/>
        <w:gridCol w:w="1317"/>
        <w:gridCol w:w="1350"/>
        <w:gridCol w:w="1440"/>
        <w:gridCol w:w="1379"/>
      </w:tblGrid>
      <w:tr w:rsidR="009177AB" w:rsidRPr="0021398F" w14:paraId="214C6ED8" w14:textId="77777777" w:rsidTr="00F866EA">
        <w:trPr>
          <w:trHeight w:val="299"/>
        </w:trPr>
        <w:tc>
          <w:tcPr>
            <w:tcW w:w="7409" w:type="dxa"/>
            <w:gridSpan w:val="5"/>
            <w:tcBorders>
              <w:top w:val="nil"/>
              <w:left w:val="nil"/>
              <w:bottom w:val="single" w:sz="4" w:space="0" w:color="auto"/>
              <w:right w:val="nil"/>
            </w:tcBorders>
            <w:shd w:val="clear" w:color="auto" w:fill="auto"/>
            <w:noWrap/>
            <w:vAlign w:val="bottom"/>
          </w:tcPr>
          <w:p w14:paraId="3306A749" w14:textId="77777777" w:rsidR="009177AB" w:rsidRPr="0021398F" w:rsidRDefault="009177AB" w:rsidP="00F866EA">
            <w:pPr>
              <w:spacing w:after="0" w:line="240" w:lineRule="auto"/>
              <w:jc w:val="left"/>
              <w:rPr>
                <w:color w:val="000000"/>
              </w:rPr>
            </w:pPr>
            <w:r w:rsidRPr="0021398F">
              <w:rPr>
                <w:color w:val="000000"/>
              </w:rPr>
              <w:t>Table 2</w:t>
            </w:r>
          </w:p>
        </w:tc>
      </w:tr>
      <w:tr w:rsidR="009177AB" w:rsidRPr="0021398F" w14:paraId="4F37A19F" w14:textId="77777777" w:rsidTr="00F866EA">
        <w:trPr>
          <w:trHeight w:val="299"/>
        </w:trPr>
        <w:tc>
          <w:tcPr>
            <w:tcW w:w="7409" w:type="dxa"/>
            <w:gridSpan w:val="5"/>
            <w:tcBorders>
              <w:top w:val="single" w:sz="4" w:space="0" w:color="auto"/>
              <w:left w:val="nil"/>
              <w:bottom w:val="single" w:sz="4" w:space="0" w:color="auto"/>
              <w:right w:val="nil"/>
            </w:tcBorders>
            <w:shd w:val="clear" w:color="auto" w:fill="auto"/>
            <w:noWrap/>
            <w:vAlign w:val="bottom"/>
            <w:hideMark/>
          </w:tcPr>
          <w:p w14:paraId="0C450759" w14:textId="77777777" w:rsidR="009177AB" w:rsidRPr="0021398F" w:rsidRDefault="009177AB" w:rsidP="00F866EA">
            <w:pPr>
              <w:spacing w:after="0" w:line="240" w:lineRule="auto"/>
              <w:jc w:val="left"/>
              <w:rPr>
                <w:i/>
                <w:iCs/>
                <w:color w:val="000000"/>
              </w:rPr>
            </w:pPr>
            <w:r w:rsidRPr="0021398F">
              <w:rPr>
                <w:i/>
                <w:iCs/>
                <w:color w:val="000000"/>
              </w:rPr>
              <w:t xml:space="preserve">Reliability </w:t>
            </w:r>
            <w:r>
              <w:rPr>
                <w:i/>
                <w:iCs/>
                <w:color w:val="000000"/>
              </w:rPr>
              <w:t>M</w:t>
            </w:r>
            <w:r w:rsidRPr="0021398F">
              <w:rPr>
                <w:i/>
                <w:iCs/>
                <w:color w:val="000000"/>
              </w:rPr>
              <w:t>easures of the Subjective Happiness Scale (SHS)</w:t>
            </w:r>
            <w:r>
              <w:rPr>
                <w:i/>
                <w:iCs/>
                <w:color w:val="000000"/>
              </w:rPr>
              <w:t xml:space="preserve"> by Country</w:t>
            </w:r>
          </w:p>
        </w:tc>
      </w:tr>
      <w:tr w:rsidR="009177AB" w:rsidRPr="0021398F" w14:paraId="0B901AE1" w14:textId="77777777" w:rsidTr="004A78D4">
        <w:trPr>
          <w:trHeight w:val="299"/>
        </w:trPr>
        <w:tc>
          <w:tcPr>
            <w:tcW w:w="1923" w:type="dxa"/>
            <w:tcBorders>
              <w:top w:val="single" w:sz="4" w:space="0" w:color="auto"/>
              <w:left w:val="nil"/>
              <w:bottom w:val="single" w:sz="4" w:space="0" w:color="auto"/>
              <w:right w:val="nil"/>
            </w:tcBorders>
            <w:shd w:val="clear" w:color="auto" w:fill="auto"/>
            <w:noWrap/>
            <w:vAlign w:val="bottom"/>
            <w:hideMark/>
          </w:tcPr>
          <w:p w14:paraId="244024C2" w14:textId="77777777" w:rsidR="009177AB" w:rsidRPr="0021398F" w:rsidRDefault="009177AB" w:rsidP="00F866EA">
            <w:pPr>
              <w:spacing w:after="0" w:line="240" w:lineRule="auto"/>
              <w:jc w:val="left"/>
              <w:rPr>
                <w:color w:val="000000"/>
              </w:rPr>
            </w:pPr>
            <w:bookmarkStart w:id="0" w:name="_Hlk52195600"/>
            <w:r>
              <w:rPr>
                <w:color w:val="000000"/>
              </w:rPr>
              <w:t>C</w:t>
            </w:r>
            <w:r w:rsidRPr="0021398F">
              <w:rPr>
                <w:color w:val="000000"/>
              </w:rPr>
              <w:t>ountry</w:t>
            </w:r>
          </w:p>
        </w:tc>
        <w:tc>
          <w:tcPr>
            <w:tcW w:w="1317" w:type="dxa"/>
            <w:tcBorders>
              <w:top w:val="single" w:sz="4" w:space="0" w:color="auto"/>
              <w:left w:val="nil"/>
              <w:bottom w:val="single" w:sz="4" w:space="0" w:color="auto"/>
              <w:right w:val="nil"/>
            </w:tcBorders>
            <w:shd w:val="clear" w:color="auto" w:fill="auto"/>
            <w:noWrap/>
            <w:vAlign w:val="center"/>
            <w:hideMark/>
          </w:tcPr>
          <w:p w14:paraId="4BCEF1B4" w14:textId="27C1981E" w:rsidR="009177AB" w:rsidRPr="007316E8" w:rsidRDefault="004A78D4" w:rsidP="004A78D4">
            <w:pPr>
              <w:spacing w:after="0" w:line="240" w:lineRule="auto"/>
              <w:rPr>
                <w:color w:val="000000"/>
              </w:rPr>
            </w:pPr>
            <w:r w:rsidRPr="007316E8">
              <w:rPr>
                <w:i/>
                <w:iCs/>
              </w:rPr>
              <w:t>ω</w:t>
            </w:r>
            <w:r w:rsidRPr="007316E8">
              <w:rPr>
                <w:i/>
                <w:iCs/>
                <w:vertAlign w:val="subscript"/>
              </w:rPr>
              <w:t>t</w:t>
            </w:r>
          </w:p>
        </w:tc>
        <w:tc>
          <w:tcPr>
            <w:tcW w:w="1350" w:type="dxa"/>
            <w:tcBorders>
              <w:top w:val="single" w:sz="4" w:space="0" w:color="auto"/>
              <w:left w:val="nil"/>
              <w:bottom w:val="single" w:sz="4" w:space="0" w:color="auto"/>
              <w:right w:val="nil"/>
            </w:tcBorders>
            <w:shd w:val="clear" w:color="auto" w:fill="auto"/>
            <w:noWrap/>
            <w:vAlign w:val="center"/>
            <w:hideMark/>
          </w:tcPr>
          <w:p w14:paraId="5D1B6E51" w14:textId="1365DB6F" w:rsidR="009177AB" w:rsidRPr="0021398F" w:rsidRDefault="004A78D4" w:rsidP="004A78D4">
            <w:pPr>
              <w:spacing w:after="0" w:line="240" w:lineRule="auto"/>
              <w:rPr>
                <w:color w:val="000000"/>
              </w:rPr>
            </w:pPr>
            <w:r w:rsidRPr="007316E8">
              <w:rPr>
                <w:i/>
                <w:iCs/>
              </w:rPr>
              <w:t>ω</w:t>
            </w:r>
            <w:r w:rsidRPr="007316E8">
              <w:rPr>
                <w:i/>
                <w:iCs/>
                <w:vertAlign w:val="subscript"/>
              </w:rPr>
              <w:t>h</w:t>
            </w:r>
          </w:p>
        </w:tc>
        <w:tc>
          <w:tcPr>
            <w:tcW w:w="1440" w:type="dxa"/>
            <w:tcBorders>
              <w:top w:val="single" w:sz="4" w:space="0" w:color="auto"/>
              <w:left w:val="nil"/>
              <w:bottom w:val="single" w:sz="4" w:space="0" w:color="auto"/>
              <w:right w:val="nil"/>
            </w:tcBorders>
            <w:shd w:val="clear" w:color="auto" w:fill="auto"/>
            <w:noWrap/>
            <w:vAlign w:val="center"/>
            <w:hideMark/>
          </w:tcPr>
          <w:p w14:paraId="0063F0CC" w14:textId="77777777" w:rsidR="009177AB" w:rsidRPr="0021398F" w:rsidRDefault="009177AB" w:rsidP="004A78D4">
            <w:pPr>
              <w:spacing w:after="0" w:line="240" w:lineRule="auto"/>
              <w:rPr>
                <w:color w:val="000000"/>
              </w:rPr>
            </w:pPr>
            <w:r w:rsidRPr="001F6719">
              <w:rPr>
                <w:i/>
                <w:iCs/>
              </w:rPr>
              <w:t>β</w:t>
            </w:r>
          </w:p>
        </w:tc>
        <w:tc>
          <w:tcPr>
            <w:tcW w:w="1379" w:type="dxa"/>
            <w:tcBorders>
              <w:top w:val="single" w:sz="4" w:space="0" w:color="auto"/>
              <w:left w:val="nil"/>
              <w:bottom w:val="single" w:sz="4" w:space="0" w:color="auto"/>
              <w:right w:val="nil"/>
            </w:tcBorders>
            <w:shd w:val="clear" w:color="auto" w:fill="auto"/>
            <w:noWrap/>
            <w:vAlign w:val="center"/>
            <w:hideMark/>
          </w:tcPr>
          <w:p w14:paraId="15196DA5" w14:textId="77777777" w:rsidR="009177AB" w:rsidRPr="0021398F" w:rsidRDefault="001474EE" w:rsidP="004A78D4">
            <w:pPr>
              <w:spacing w:after="0" w:line="240" w:lineRule="auto"/>
              <w:rPr>
                <w:color w:val="000000"/>
              </w:rPr>
            </w:pPr>
            <m:oMath>
              <m:acc>
                <m:accPr>
                  <m:chr m:val="̅"/>
                  <m:ctrlPr>
                    <w:rPr>
                      <w:rFonts w:ascii="Cambria Math" w:hAnsi="Cambria Math"/>
                      <w:i/>
                      <w:iCs/>
                    </w:rPr>
                  </m:ctrlPr>
                </m:accPr>
                <m:e>
                  <m:r>
                    <w:rPr>
                      <w:rFonts w:ascii="Cambria Math" w:hAnsi="Cambria Math"/>
                    </w:rPr>
                    <m:t>h</m:t>
                  </m:r>
                </m:e>
              </m:acc>
            </m:oMath>
            <w:r w:rsidR="009177AB" w:rsidRPr="00582CB8">
              <w:rPr>
                <w:vertAlign w:val="superscript"/>
              </w:rPr>
              <w:t>2</w:t>
            </w:r>
          </w:p>
        </w:tc>
      </w:tr>
      <w:bookmarkEnd w:id="0"/>
      <w:tr w:rsidR="00935CA9" w:rsidRPr="0021398F" w14:paraId="483E3FD6" w14:textId="77777777" w:rsidTr="00F866EA">
        <w:trPr>
          <w:trHeight w:val="299"/>
        </w:trPr>
        <w:tc>
          <w:tcPr>
            <w:tcW w:w="1923" w:type="dxa"/>
            <w:tcBorders>
              <w:top w:val="single" w:sz="4" w:space="0" w:color="auto"/>
              <w:left w:val="nil"/>
              <w:bottom w:val="nil"/>
              <w:right w:val="nil"/>
            </w:tcBorders>
            <w:shd w:val="clear" w:color="auto" w:fill="auto"/>
            <w:noWrap/>
            <w:vAlign w:val="bottom"/>
            <w:hideMark/>
          </w:tcPr>
          <w:p w14:paraId="3263D39B" w14:textId="77777777" w:rsidR="00935CA9" w:rsidRPr="0021398F" w:rsidRDefault="00935CA9" w:rsidP="00935CA9">
            <w:pPr>
              <w:spacing w:after="0" w:line="240" w:lineRule="auto"/>
              <w:jc w:val="left"/>
              <w:rPr>
                <w:color w:val="000000"/>
              </w:rPr>
            </w:pPr>
            <w:r w:rsidRPr="0021398F">
              <w:rPr>
                <w:color w:val="000000"/>
              </w:rPr>
              <w:t>Argentina</w:t>
            </w:r>
          </w:p>
        </w:tc>
        <w:tc>
          <w:tcPr>
            <w:tcW w:w="1317" w:type="dxa"/>
            <w:tcBorders>
              <w:top w:val="single" w:sz="4" w:space="0" w:color="auto"/>
              <w:left w:val="nil"/>
              <w:bottom w:val="nil"/>
              <w:right w:val="nil"/>
            </w:tcBorders>
            <w:shd w:val="clear" w:color="auto" w:fill="auto"/>
            <w:noWrap/>
            <w:vAlign w:val="bottom"/>
            <w:hideMark/>
          </w:tcPr>
          <w:p w14:paraId="3AB9B13D" w14:textId="3FB47D72" w:rsidR="00935CA9" w:rsidRPr="0021398F" w:rsidRDefault="00935CA9" w:rsidP="00935CA9">
            <w:pPr>
              <w:spacing w:after="0" w:line="240" w:lineRule="auto"/>
              <w:rPr>
                <w:color w:val="000000"/>
              </w:rPr>
            </w:pPr>
            <w:r>
              <w:rPr>
                <w:color w:val="000000"/>
              </w:rPr>
              <w:t>.83</w:t>
            </w:r>
          </w:p>
        </w:tc>
        <w:tc>
          <w:tcPr>
            <w:tcW w:w="1350" w:type="dxa"/>
            <w:tcBorders>
              <w:top w:val="single" w:sz="4" w:space="0" w:color="auto"/>
              <w:left w:val="nil"/>
              <w:bottom w:val="nil"/>
              <w:right w:val="nil"/>
            </w:tcBorders>
            <w:shd w:val="clear" w:color="auto" w:fill="auto"/>
            <w:noWrap/>
            <w:vAlign w:val="bottom"/>
            <w:hideMark/>
          </w:tcPr>
          <w:p w14:paraId="00D14B9A" w14:textId="44ED0A32" w:rsidR="00935CA9" w:rsidRPr="0021398F" w:rsidRDefault="00935CA9" w:rsidP="00935CA9">
            <w:pPr>
              <w:spacing w:after="0" w:line="240" w:lineRule="auto"/>
              <w:rPr>
                <w:color w:val="000000"/>
              </w:rPr>
            </w:pPr>
            <w:r>
              <w:rPr>
                <w:color w:val="000000"/>
              </w:rPr>
              <w:t>.06</w:t>
            </w:r>
          </w:p>
        </w:tc>
        <w:tc>
          <w:tcPr>
            <w:tcW w:w="1440" w:type="dxa"/>
            <w:tcBorders>
              <w:top w:val="single" w:sz="4" w:space="0" w:color="auto"/>
              <w:left w:val="nil"/>
              <w:bottom w:val="nil"/>
              <w:right w:val="nil"/>
            </w:tcBorders>
            <w:shd w:val="clear" w:color="auto" w:fill="auto"/>
            <w:noWrap/>
            <w:vAlign w:val="center"/>
            <w:hideMark/>
          </w:tcPr>
          <w:p w14:paraId="784E0FA2" w14:textId="77777777" w:rsidR="00935CA9" w:rsidRPr="0021398F" w:rsidRDefault="00935CA9" w:rsidP="00935CA9">
            <w:pPr>
              <w:spacing w:after="0" w:line="240" w:lineRule="auto"/>
              <w:rPr>
                <w:color w:val="000000"/>
              </w:rPr>
            </w:pPr>
            <w:r w:rsidRPr="0021398F">
              <w:rPr>
                <w:color w:val="000000"/>
              </w:rPr>
              <w:t>.82</w:t>
            </w:r>
          </w:p>
        </w:tc>
        <w:tc>
          <w:tcPr>
            <w:tcW w:w="1379" w:type="dxa"/>
            <w:tcBorders>
              <w:top w:val="single" w:sz="4" w:space="0" w:color="auto"/>
              <w:left w:val="nil"/>
              <w:bottom w:val="nil"/>
              <w:right w:val="nil"/>
            </w:tcBorders>
            <w:shd w:val="clear" w:color="auto" w:fill="auto"/>
            <w:noWrap/>
            <w:vAlign w:val="bottom"/>
            <w:hideMark/>
          </w:tcPr>
          <w:p w14:paraId="65BABF00" w14:textId="77777777" w:rsidR="00935CA9" w:rsidRPr="0021398F" w:rsidRDefault="00935CA9" w:rsidP="00935CA9">
            <w:pPr>
              <w:spacing w:after="0" w:line="240" w:lineRule="auto"/>
              <w:rPr>
                <w:color w:val="000000"/>
              </w:rPr>
            </w:pPr>
            <w:r w:rsidRPr="0021398F">
              <w:rPr>
                <w:color w:val="000000"/>
              </w:rPr>
              <w:t>.56</w:t>
            </w:r>
          </w:p>
        </w:tc>
      </w:tr>
      <w:tr w:rsidR="00935CA9" w:rsidRPr="0021398F" w14:paraId="7646AF6B" w14:textId="77777777" w:rsidTr="00F866EA">
        <w:trPr>
          <w:trHeight w:val="299"/>
        </w:trPr>
        <w:tc>
          <w:tcPr>
            <w:tcW w:w="1923" w:type="dxa"/>
            <w:tcBorders>
              <w:top w:val="nil"/>
              <w:left w:val="nil"/>
              <w:bottom w:val="nil"/>
              <w:right w:val="nil"/>
            </w:tcBorders>
            <w:shd w:val="clear" w:color="auto" w:fill="auto"/>
            <w:noWrap/>
            <w:vAlign w:val="bottom"/>
            <w:hideMark/>
          </w:tcPr>
          <w:p w14:paraId="1723D09B" w14:textId="77777777" w:rsidR="00935CA9" w:rsidRPr="0021398F" w:rsidRDefault="00935CA9" w:rsidP="00935CA9">
            <w:pPr>
              <w:spacing w:after="0" w:line="240" w:lineRule="auto"/>
              <w:jc w:val="left"/>
              <w:rPr>
                <w:color w:val="000000"/>
              </w:rPr>
            </w:pPr>
            <w:r w:rsidRPr="0021398F">
              <w:rPr>
                <w:color w:val="000000"/>
              </w:rPr>
              <w:t>Australia</w:t>
            </w:r>
          </w:p>
        </w:tc>
        <w:tc>
          <w:tcPr>
            <w:tcW w:w="1317" w:type="dxa"/>
            <w:tcBorders>
              <w:top w:val="nil"/>
              <w:left w:val="nil"/>
              <w:bottom w:val="nil"/>
              <w:right w:val="nil"/>
            </w:tcBorders>
            <w:shd w:val="clear" w:color="auto" w:fill="auto"/>
            <w:noWrap/>
            <w:vAlign w:val="bottom"/>
            <w:hideMark/>
          </w:tcPr>
          <w:p w14:paraId="5406984F" w14:textId="6D6FB2CB"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1C0DEBEA" w14:textId="0B646583" w:rsidR="00935CA9" w:rsidRPr="0021398F" w:rsidRDefault="00935CA9" w:rsidP="00935CA9">
            <w:pPr>
              <w:spacing w:after="0" w:line="240" w:lineRule="auto"/>
              <w:rPr>
                <w:color w:val="000000"/>
              </w:rPr>
            </w:pPr>
            <w:r>
              <w:rPr>
                <w:color w:val="000000"/>
              </w:rPr>
              <w:t>.83</w:t>
            </w:r>
          </w:p>
        </w:tc>
        <w:tc>
          <w:tcPr>
            <w:tcW w:w="1440" w:type="dxa"/>
            <w:tcBorders>
              <w:top w:val="nil"/>
              <w:left w:val="nil"/>
              <w:bottom w:val="nil"/>
              <w:right w:val="nil"/>
            </w:tcBorders>
            <w:shd w:val="clear" w:color="auto" w:fill="auto"/>
            <w:noWrap/>
            <w:vAlign w:val="center"/>
            <w:hideMark/>
          </w:tcPr>
          <w:p w14:paraId="5D2021FC"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34C4A04E" w14:textId="77777777" w:rsidR="00935CA9" w:rsidRPr="0021398F" w:rsidRDefault="00935CA9" w:rsidP="00935CA9">
            <w:pPr>
              <w:spacing w:after="0" w:line="240" w:lineRule="auto"/>
              <w:rPr>
                <w:color w:val="000000"/>
              </w:rPr>
            </w:pPr>
            <w:r w:rsidRPr="0021398F">
              <w:rPr>
                <w:color w:val="000000"/>
              </w:rPr>
              <w:t>.68</w:t>
            </w:r>
          </w:p>
        </w:tc>
      </w:tr>
      <w:tr w:rsidR="00935CA9" w:rsidRPr="0021398F" w14:paraId="100BC175" w14:textId="77777777" w:rsidTr="00F866EA">
        <w:trPr>
          <w:trHeight w:val="299"/>
        </w:trPr>
        <w:tc>
          <w:tcPr>
            <w:tcW w:w="1923" w:type="dxa"/>
            <w:tcBorders>
              <w:top w:val="nil"/>
              <w:left w:val="nil"/>
              <w:bottom w:val="nil"/>
              <w:right w:val="nil"/>
            </w:tcBorders>
            <w:shd w:val="clear" w:color="auto" w:fill="auto"/>
            <w:noWrap/>
            <w:vAlign w:val="bottom"/>
            <w:hideMark/>
          </w:tcPr>
          <w:p w14:paraId="10C488F8" w14:textId="77777777" w:rsidR="00935CA9" w:rsidRPr="0021398F" w:rsidRDefault="00935CA9" w:rsidP="00935CA9">
            <w:pPr>
              <w:spacing w:after="0" w:line="240" w:lineRule="auto"/>
              <w:jc w:val="left"/>
              <w:rPr>
                <w:color w:val="000000"/>
              </w:rPr>
            </w:pPr>
            <w:r w:rsidRPr="0021398F">
              <w:rPr>
                <w:color w:val="000000"/>
              </w:rPr>
              <w:t>Austria</w:t>
            </w:r>
          </w:p>
        </w:tc>
        <w:tc>
          <w:tcPr>
            <w:tcW w:w="1317" w:type="dxa"/>
            <w:tcBorders>
              <w:top w:val="nil"/>
              <w:left w:val="nil"/>
              <w:bottom w:val="nil"/>
              <w:right w:val="nil"/>
            </w:tcBorders>
            <w:shd w:val="clear" w:color="auto" w:fill="auto"/>
            <w:noWrap/>
            <w:vAlign w:val="bottom"/>
            <w:hideMark/>
          </w:tcPr>
          <w:p w14:paraId="5EC7578D" w14:textId="1A5DDAD3" w:rsidR="00935CA9" w:rsidRPr="0021398F" w:rsidRDefault="00935CA9" w:rsidP="00935CA9">
            <w:pPr>
              <w:spacing w:after="0" w:line="240" w:lineRule="auto"/>
              <w:rPr>
                <w:color w:val="000000"/>
              </w:rPr>
            </w:pPr>
            <w:r>
              <w:rPr>
                <w:color w:val="000000"/>
              </w:rPr>
              <w:t>.86</w:t>
            </w:r>
          </w:p>
        </w:tc>
        <w:tc>
          <w:tcPr>
            <w:tcW w:w="1350" w:type="dxa"/>
            <w:tcBorders>
              <w:top w:val="nil"/>
              <w:left w:val="nil"/>
              <w:bottom w:val="nil"/>
              <w:right w:val="nil"/>
            </w:tcBorders>
            <w:shd w:val="clear" w:color="auto" w:fill="auto"/>
            <w:noWrap/>
            <w:vAlign w:val="bottom"/>
            <w:hideMark/>
          </w:tcPr>
          <w:p w14:paraId="2076A4AD" w14:textId="2F20DCB8" w:rsidR="00935CA9" w:rsidRPr="0021398F" w:rsidRDefault="00935CA9" w:rsidP="00935CA9">
            <w:pPr>
              <w:spacing w:after="0" w:line="240" w:lineRule="auto"/>
              <w:rPr>
                <w:color w:val="000000"/>
              </w:rPr>
            </w:pPr>
            <w:r>
              <w:rPr>
                <w:color w:val="000000"/>
              </w:rPr>
              <w:t>.83</w:t>
            </w:r>
          </w:p>
        </w:tc>
        <w:tc>
          <w:tcPr>
            <w:tcW w:w="1440" w:type="dxa"/>
            <w:tcBorders>
              <w:top w:val="nil"/>
              <w:left w:val="nil"/>
              <w:bottom w:val="nil"/>
              <w:right w:val="nil"/>
            </w:tcBorders>
            <w:shd w:val="clear" w:color="auto" w:fill="auto"/>
            <w:noWrap/>
            <w:vAlign w:val="center"/>
            <w:hideMark/>
          </w:tcPr>
          <w:p w14:paraId="02983C45"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254CD81E" w14:textId="77777777" w:rsidR="00935CA9" w:rsidRPr="0021398F" w:rsidRDefault="00935CA9" w:rsidP="00935CA9">
            <w:pPr>
              <w:spacing w:after="0" w:line="240" w:lineRule="auto"/>
              <w:rPr>
                <w:color w:val="000000"/>
              </w:rPr>
            </w:pPr>
            <w:r w:rsidRPr="0021398F">
              <w:rPr>
                <w:color w:val="000000"/>
              </w:rPr>
              <w:t>.63</w:t>
            </w:r>
          </w:p>
        </w:tc>
      </w:tr>
      <w:tr w:rsidR="00935CA9" w:rsidRPr="0021398F" w14:paraId="22DE1779" w14:textId="77777777" w:rsidTr="00F866EA">
        <w:trPr>
          <w:trHeight w:val="299"/>
        </w:trPr>
        <w:tc>
          <w:tcPr>
            <w:tcW w:w="1923" w:type="dxa"/>
            <w:tcBorders>
              <w:top w:val="nil"/>
              <w:left w:val="nil"/>
              <w:bottom w:val="nil"/>
              <w:right w:val="nil"/>
            </w:tcBorders>
            <w:shd w:val="clear" w:color="auto" w:fill="auto"/>
            <w:noWrap/>
            <w:vAlign w:val="bottom"/>
            <w:hideMark/>
          </w:tcPr>
          <w:p w14:paraId="2E0965B8" w14:textId="77777777" w:rsidR="00935CA9" w:rsidRPr="0021398F" w:rsidRDefault="00935CA9" w:rsidP="00935CA9">
            <w:pPr>
              <w:spacing w:after="0" w:line="240" w:lineRule="auto"/>
              <w:jc w:val="left"/>
              <w:rPr>
                <w:color w:val="000000"/>
              </w:rPr>
            </w:pPr>
            <w:r w:rsidRPr="0021398F">
              <w:rPr>
                <w:color w:val="000000"/>
              </w:rPr>
              <w:t>Belgium</w:t>
            </w:r>
          </w:p>
        </w:tc>
        <w:tc>
          <w:tcPr>
            <w:tcW w:w="1317" w:type="dxa"/>
            <w:tcBorders>
              <w:top w:val="nil"/>
              <w:left w:val="nil"/>
              <w:bottom w:val="nil"/>
              <w:right w:val="nil"/>
            </w:tcBorders>
            <w:shd w:val="clear" w:color="auto" w:fill="auto"/>
            <w:noWrap/>
            <w:vAlign w:val="bottom"/>
            <w:hideMark/>
          </w:tcPr>
          <w:p w14:paraId="399010DF" w14:textId="369A0261" w:rsidR="00935CA9" w:rsidRPr="0021398F" w:rsidRDefault="00935CA9" w:rsidP="00935CA9">
            <w:pPr>
              <w:spacing w:after="0" w:line="240" w:lineRule="auto"/>
              <w:rPr>
                <w:color w:val="000000"/>
              </w:rPr>
            </w:pPr>
            <w:r>
              <w:rPr>
                <w:color w:val="000000"/>
              </w:rPr>
              <w:t>.93</w:t>
            </w:r>
          </w:p>
        </w:tc>
        <w:tc>
          <w:tcPr>
            <w:tcW w:w="1350" w:type="dxa"/>
            <w:tcBorders>
              <w:top w:val="nil"/>
              <w:left w:val="nil"/>
              <w:bottom w:val="nil"/>
              <w:right w:val="nil"/>
            </w:tcBorders>
            <w:shd w:val="clear" w:color="auto" w:fill="auto"/>
            <w:noWrap/>
            <w:vAlign w:val="bottom"/>
            <w:hideMark/>
          </w:tcPr>
          <w:p w14:paraId="66E40A5C" w14:textId="5CC149A8" w:rsidR="00935CA9" w:rsidRPr="0021398F" w:rsidRDefault="00935CA9" w:rsidP="00935CA9">
            <w:pPr>
              <w:spacing w:after="0" w:line="240" w:lineRule="auto"/>
              <w:rPr>
                <w:color w:val="000000"/>
              </w:rPr>
            </w:pPr>
            <w:r>
              <w:rPr>
                <w:color w:val="000000"/>
              </w:rPr>
              <w:t>.91</w:t>
            </w:r>
          </w:p>
        </w:tc>
        <w:tc>
          <w:tcPr>
            <w:tcW w:w="1440" w:type="dxa"/>
            <w:tcBorders>
              <w:top w:val="nil"/>
              <w:left w:val="nil"/>
              <w:bottom w:val="nil"/>
              <w:right w:val="nil"/>
            </w:tcBorders>
            <w:shd w:val="clear" w:color="auto" w:fill="auto"/>
            <w:noWrap/>
            <w:vAlign w:val="center"/>
            <w:hideMark/>
          </w:tcPr>
          <w:p w14:paraId="556E52F9" w14:textId="77777777" w:rsidR="00935CA9" w:rsidRPr="0021398F" w:rsidRDefault="00935CA9" w:rsidP="00935CA9">
            <w:pPr>
              <w:spacing w:after="0" w:line="240" w:lineRule="auto"/>
              <w:rPr>
                <w:color w:val="000000"/>
              </w:rPr>
            </w:pPr>
            <w:r w:rsidRPr="0021398F">
              <w:rPr>
                <w:color w:val="000000"/>
              </w:rPr>
              <w:t>.91</w:t>
            </w:r>
          </w:p>
        </w:tc>
        <w:tc>
          <w:tcPr>
            <w:tcW w:w="1379" w:type="dxa"/>
            <w:tcBorders>
              <w:top w:val="nil"/>
              <w:left w:val="nil"/>
              <w:bottom w:val="nil"/>
              <w:right w:val="nil"/>
            </w:tcBorders>
            <w:shd w:val="clear" w:color="auto" w:fill="auto"/>
            <w:noWrap/>
            <w:vAlign w:val="bottom"/>
            <w:hideMark/>
          </w:tcPr>
          <w:p w14:paraId="0471F559" w14:textId="77777777" w:rsidR="00935CA9" w:rsidRPr="0021398F" w:rsidRDefault="00935CA9" w:rsidP="00935CA9">
            <w:pPr>
              <w:spacing w:after="0" w:line="240" w:lineRule="auto"/>
              <w:rPr>
                <w:color w:val="000000"/>
              </w:rPr>
            </w:pPr>
            <w:r w:rsidRPr="0021398F">
              <w:rPr>
                <w:color w:val="000000"/>
              </w:rPr>
              <w:t>.78</w:t>
            </w:r>
          </w:p>
        </w:tc>
      </w:tr>
      <w:tr w:rsidR="00935CA9" w:rsidRPr="0021398F" w14:paraId="4E8820A3" w14:textId="77777777" w:rsidTr="00F866EA">
        <w:trPr>
          <w:trHeight w:val="299"/>
        </w:trPr>
        <w:tc>
          <w:tcPr>
            <w:tcW w:w="1923" w:type="dxa"/>
            <w:tcBorders>
              <w:top w:val="nil"/>
              <w:left w:val="nil"/>
              <w:bottom w:val="nil"/>
              <w:right w:val="nil"/>
            </w:tcBorders>
            <w:shd w:val="clear" w:color="auto" w:fill="auto"/>
            <w:noWrap/>
            <w:vAlign w:val="bottom"/>
            <w:hideMark/>
          </w:tcPr>
          <w:p w14:paraId="3D374304" w14:textId="77777777" w:rsidR="00935CA9" w:rsidRPr="0021398F" w:rsidRDefault="00935CA9" w:rsidP="00935CA9">
            <w:pPr>
              <w:spacing w:after="0" w:line="240" w:lineRule="auto"/>
              <w:jc w:val="left"/>
              <w:rPr>
                <w:color w:val="000000"/>
              </w:rPr>
            </w:pPr>
            <w:r w:rsidRPr="0021398F">
              <w:rPr>
                <w:color w:val="000000"/>
              </w:rPr>
              <w:t>Bolivia</w:t>
            </w:r>
          </w:p>
        </w:tc>
        <w:tc>
          <w:tcPr>
            <w:tcW w:w="1317" w:type="dxa"/>
            <w:tcBorders>
              <w:top w:val="nil"/>
              <w:left w:val="nil"/>
              <w:bottom w:val="nil"/>
              <w:right w:val="nil"/>
            </w:tcBorders>
            <w:shd w:val="clear" w:color="auto" w:fill="auto"/>
            <w:noWrap/>
            <w:vAlign w:val="bottom"/>
            <w:hideMark/>
          </w:tcPr>
          <w:p w14:paraId="0C12C3ED" w14:textId="138DABCA" w:rsidR="00935CA9" w:rsidRPr="0021398F" w:rsidRDefault="00935CA9" w:rsidP="00935CA9">
            <w:pPr>
              <w:spacing w:after="0" w:line="240" w:lineRule="auto"/>
              <w:rPr>
                <w:color w:val="000000"/>
              </w:rPr>
            </w:pPr>
            <w:r>
              <w:rPr>
                <w:color w:val="000000"/>
              </w:rPr>
              <w:t>.87</w:t>
            </w:r>
          </w:p>
        </w:tc>
        <w:tc>
          <w:tcPr>
            <w:tcW w:w="1350" w:type="dxa"/>
            <w:tcBorders>
              <w:top w:val="nil"/>
              <w:left w:val="nil"/>
              <w:bottom w:val="nil"/>
              <w:right w:val="nil"/>
            </w:tcBorders>
            <w:shd w:val="clear" w:color="auto" w:fill="auto"/>
            <w:noWrap/>
            <w:vAlign w:val="bottom"/>
            <w:hideMark/>
          </w:tcPr>
          <w:p w14:paraId="46F31BE9" w14:textId="19EBA2CD" w:rsidR="00935CA9" w:rsidRPr="0021398F" w:rsidRDefault="00935CA9" w:rsidP="00935CA9">
            <w:pPr>
              <w:spacing w:after="0" w:line="240" w:lineRule="auto"/>
              <w:rPr>
                <w:color w:val="000000"/>
              </w:rPr>
            </w:pPr>
            <w:r>
              <w:rPr>
                <w:color w:val="000000"/>
              </w:rPr>
              <w:t>.00</w:t>
            </w:r>
          </w:p>
        </w:tc>
        <w:tc>
          <w:tcPr>
            <w:tcW w:w="1440" w:type="dxa"/>
            <w:tcBorders>
              <w:top w:val="nil"/>
              <w:left w:val="nil"/>
              <w:bottom w:val="nil"/>
              <w:right w:val="nil"/>
            </w:tcBorders>
            <w:shd w:val="clear" w:color="auto" w:fill="auto"/>
            <w:noWrap/>
            <w:vAlign w:val="center"/>
            <w:hideMark/>
          </w:tcPr>
          <w:p w14:paraId="7782980D" w14:textId="77777777" w:rsidR="00935CA9" w:rsidRPr="0021398F" w:rsidRDefault="00935CA9" w:rsidP="00935CA9">
            <w:pPr>
              <w:spacing w:after="0" w:line="240" w:lineRule="auto"/>
              <w:rPr>
                <w:color w:val="000000"/>
              </w:rPr>
            </w:pPr>
            <w:r w:rsidRPr="0021398F">
              <w:rPr>
                <w:color w:val="000000"/>
              </w:rPr>
              <w:t>.86</w:t>
            </w:r>
          </w:p>
        </w:tc>
        <w:tc>
          <w:tcPr>
            <w:tcW w:w="1379" w:type="dxa"/>
            <w:tcBorders>
              <w:top w:val="nil"/>
              <w:left w:val="nil"/>
              <w:bottom w:val="nil"/>
              <w:right w:val="nil"/>
            </w:tcBorders>
            <w:shd w:val="clear" w:color="auto" w:fill="auto"/>
            <w:noWrap/>
            <w:vAlign w:val="bottom"/>
            <w:hideMark/>
          </w:tcPr>
          <w:p w14:paraId="681025D4" w14:textId="77777777" w:rsidR="00935CA9" w:rsidRPr="0021398F" w:rsidRDefault="00935CA9" w:rsidP="00935CA9">
            <w:pPr>
              <w:spacing w:after="0" w:line="240" w:lineRule="auto"/>
              <w:rPr>
                <w:color w:val="000000"/>
              </w:rPr>
            </w:pPr>
            <w:r w:rsidRPr="0021398F">
              <w:rPr>
                <w:color w:val="000000"/>
              </w:rPr>
              <w:t>.63</w:t>
            </w:r>
          </w:p>
        </w:tc>
      </w:tr>
      <w:tr w:rsidR="00935CA9" w:rsidRPr="0021398F" w14:paraId="56EDA73B" w14:textId="77777777" w:rsidTr="00F866EA">
        <w:trPr>
          <w:trHeight w:val="299"/>
        </w:trPr>
        <w:tc>
          <w:tcPr>
            <w:tcW w:w="1923" w:type="dxa"/>
            <w:tcBorders>
              <w:top w:val="nil"/>
              <w:left w:val="nil"/>
              <w:bottom w:val="nil"/>
              <w:right w:val="nil"/>
            </w:tcBorders>
            <w:shd w:val="clear" w:color="auto" w:fill="auto"/>
            <w:noWrap/>
            <w:vAlign w:val="bottom"/>
            <w:hideMark/>
          </w:tcPr>
          <w:p w14:paraId="5758F943" w14:textId="77777777" w:rsidR="00935CA9" w:rsidRPr="0021398F" w:rsidRDefault="00935CA9" w:rsidP="00935CA9">
            <w:pPr>
              <w:spacing w:after="0" w:line="240" w:lineRule="auto"/>
              <w:jc w:val="left"/>
              <w:rPr>
                <w:color w:val="000000"/>
              </w:rPr>
            </w:pPr>
            <w:r w:rsidRPr="0021398F">
              <w:rPr>
                <w:color w:val="000000"/>
              </w:rPr>
              <w:t>Brazil</w:t>
            </w:r>
          </w:p>
        </w:tc>
        <w:tc>
          <w:tcPr>
            <w:tcW w:w="1317" w:type="dxa"/>
            <w:tcBorders>
              <w:top w:val="nil"/>
              <w:left w:val="nil"/>
              <w:bottom w:val="nil"/>
              <w:right w:val="nil"/>
            </w:tcBorders>
            <w:shd w:val="clear" w:color="auto" w:fill="auto"/>
            <w:noWrap/>
            <w:vAlign w:val="bottom"/>
            <w:hideMark/>
          </w:tcPr>
          <w:p w14:paraId="0B5F5656" w14:textId="60003102" w:rsidR="00935CA9" w:rsidRPr="0021398F" w:rsidRDefault="00935CA9" w:rsidP="00935CA9">
            <w:pPr>
              <w:spacing w:after="0" w:line="240" w:lineRule="auto"/>
              <w:rPr>
                <w:color w:val="000000"/>
              </w:rPr>
            </w:pPr>
            <w:r>
              <w:rPr>
                <w:color w:val="000000"/>
              </w:rPr>
              <w:t>.86</w:t>
            </w:r>
          </w:p>
        </w:tc>
        <w:tc>
          <w:tcPr>
            <w:tcW w:w="1350" w:type="dxa"/>
            <w:tcBorders>
              <w:top w:val="nil"/>
              <w:left w:val="nil"/>
              <w:bottom w:val="nil"/>
              <w:right w:val="nil"/>
            </w:tcBorders>
            <w:shd w:val="clear" w:color="auto" w:fill="auto"/>
            <w:noWrap/>
            <w:vAlign w:val="bottom"/>
            <w:hideMark/>
          </w:tcPr>
          <w:p w14:paraId="637FD04C" w14:textId="19DFD3AD" w:rsidR="00935CA9" w:rsidRPr="0021398F" w:rsidRDefault="00935CA9" w:rsidP="00935CA9">
            <w:pPr>
              <w:spacing w:after="0" w:line="240" w:lineRule="auto"/>
              <w:rPr>
                <w:color w:val="000000"/>
              </w:rPr>
            </w:pPr>
            <w:r>
              <w:rPr>
                <w:color w:val="000000"/>
              </w:rPr>
              <w:t>.83</w:t>
            </w:r>
          </w:p>
        </w:tc>
        <w:tc>
          <w:tcPr>
            <w:tcW w:w="1440" w:type="dxa"/>
            <w:tcBorders>
              <w:top w:val="nil"/>
              <w:left w:val="nil"/>
              <w:bottom w:val="nil"/>
              <w:right w:val="nil"/>
            </w:tcBorders>
            <w:shd w:val="clear" w:color="auto" w:fill="auto"/>
            <w:noWrap/>
            <w:vAlign w:val="center"/>
            <w:hideMark/>
          </w:tcPr>
          <w:p w14:paraId="3966D026"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384C01CB" w14:textId="77777777" w:rsidR="00935CA9" w:rsidRPr="0021398F" w:rsidRDefault="00935CA9" w:rsidP="00935CA9">
            <w:pPr>
              <w:spacing w:after="0" w:line="240" w:lineRule="auto"/>
              <w:rPr>
                <w:color w:val="000000"/>
              </w:rPr>
            </w:pPr>
            <w:r w:rsidRPr="0021398F">
              <w:rPr>
                <w:color w:val="000000"/>
              </w:rPr>
              <w:t>.61</w:t>
            </w:r>
          </w:p>
        </w:tc>
      </w:tr>
      <w:tr w:rsidR="00935CA9" w:rsidRPr="0021398F" w14:paraId="7DA90CB6" w14:textId="77777777" w:rsidTr="00F866EA">
        <w:trPr>
          <w:trHeight w:val="299"/>
        </w:trPr>
        <w:tc>
          <w:tcPr>
            <w:tcW w:w="1923" w:type="dxa"/>
            <w:tcBorders>
              <w:top w:val="nil"/>
              <w:left w:val="nil"/>
              <w:bottom w:val="nil"/>
              <w:right w:val="nil"/>
            </w:tcBorders>
            <w:shd w:val="clear" w:color="auto" w:fill="auto"/>
            <w:noWrap/>
            <w:vAlign w:val="bottom"/>
            <w:hideMark/>
          </w:tcPr>
          <w:p w14:paraId="76355E25" w14:textId="77777777" w:rsidR="00935CA9" w:rsidRPr="0021398F" w:rsidRDefault="00935CA9" w:rsidP="00935CA9">
            <w:pPr>
              <w:spacing w:after="0" w:line="240" w:lineRule="auto"/>
              <w:jc w:val="left"/>
              <w:rPr>
                <w:color w:val="000000"/>
              </w:rPr>
            </w:pPr>
            <w:r w:rsidRPr="0021398F">
              <w:rPr>
                <w:color w:val="000000"/>
              </w:rPr>
              <w:t>Bulgaria</w:t>
            </w:r>
          </w:p>
        </w:tc>
        <w:tc>
          <w:tcPr>
            <w:tcW w:w="1317" w:type="dxa"/>
            <w:tcBorders>
              <w:top w:val="nil"/>
              <w:left w:val="nil"/>
              <w:bottom w:val="nil"/>
              <w:right w:val="nil"/>
            </w:tcBorders>
            <w:shd w:val="clear" w:color="auto" w:fill="auto"/>
            <w:noWrap/>
            <w:vAlign w:val="bottom"/>
            <w:hideMark/>
          </w:tcPr>
          <w:p w14:paraId="786997DE" w14:textId="779B7F6E" w:rsidR="00935CA9" w:rsidRPr="0021398F" w:rsidRDefault="00935CA9" w:rsidP="00935CA9">
            <w:pPr>
              <w:spacing w:after="0" w:line="240" w:lineRule="auto"/>
              <w:rPr>
                <w:color w:val="000000"/>
              </w:rPr>
            </w:pPr>
            <w:r>
              <w:rPr>
                <w:color w:val="000000"/>
              </w:rPr>
              <w:t>.92</w:t>
            </w:r>
          </w:p>
        </w:tc>
        <w:tc>
          <w:tcPr>
            <w:tcW w:w="1350" w:type="dxa"/>
            <w:tcBorders>
              <w:top w:val="nil"/>
              <w:left w:val="nil"/>
              <w:bottom w:val="nil"/>
              <w:right w:val="nil"/>
            </w:tcBorders>
            <w:shd w:val="clear" w:color="auto" w:fill="auto"/>
            <w:noWrap/>
            <w:vAlign w:val="bottom"/>
            <w:hideMark/>
          </w:tcPr>
          <w:p w14:paraId="05F4052E" w14:textId="33B7E68B" w:rsidR="00935CA9" w:rsidRPr="0021398F" w:rsidRDefault="00935CA9" w:rsidP="00935CA9">
            <w:pPr>
              <w:spacing w:after="0" w:line="240" w:lineRule="auto"/>
              <w:rPr>
                <w:color w:val="000000"/>
              </w:rPr>
            </w:pPr>
            <w:r>
              <w:rPr>
                <w:color w:val="000000"/>
              </w:rPr>
              <w:t>.82</w:t>
            </w:r>
          </w:p>
        </w:tc>
        <w:tc>
          <w:tcPr>
            <w:tcW w:w="1440" w:type="dxa"/>
            <w:tcBorders>
              <w:top w:val="nil"/>
              <w:left w:val="nil"/>
              <w:bottom w:val="nil"/>
              <w:right w:val="nil"/>
            </w:tcBorders>
            <w:shd w:val="clear" w:color="auto" w:fill="auto"/>
            <w:noWrap/>
            <w:vAlign w:val="center"/>
            <w:hideMark/>
          </w:tcPr>
          <w:p w14:paraId="7D776DFB"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69C31FD5" w14:textId="77777777" w:rsidR="00935CA9" w:rsidRPr="0021398F" w:rsidRDefault="00935CA9" w:rsidP="00935CA9">
            <w:pPr>
              <w:spacing w:after="0" w:line="240" w:lineRule="auto"/>
              <w:rPr>
                <w:color w:val="000000"/>
              </w:rPr>
            </w:pPr>
            <w:r w:rsidRPr="0021398F">
              <w:rPr>
                <w:color w:val="000000"/>
              </w:rPr>
              <w:t>.77</w:t>
            </w:r>
          </w:p>
        </w:tc>
      </w:tr>
      <w:tr w:rsidR="00935CA9" w:rsidRPr="0021398F" w14:paraId="13390DB9" w14:textId="77777777" w:rsidTr="00F866EA">
        <w:trPr>
          <w:trHeight w:val="299"/>
        </w:trPr>
        <w:tc>
          <w:tcPr>
            <w:tcW w:w="1923" w:type="dxa"/>
            <w:tcBorders>
              <w:top w:val="nil"/>
              <w:left w:val="nil"/>
              <w:bottom w:val="nil"/>
              <w:right w:val="nil"/>
            </w:tcBorders>
            <w:shd w:val="clear" w:color="auto" w:fill="auto"/>
            <w:noWrap/>
            <w:vAlign w:val="bottom"/>
            <w:hideMark/>
          </w:tcPr>
          <w:p w14:paraId="59599641" w14:textId="77777777" w:rsidR="00935CA9" w:rsidRPr="0021398F" w:rsidRDefault="00935CA9" w:rsidP="00935CA9">
            <w:pPr>
              <w:spacing w:after="0" w:line="240" w:lineRule="auto"/>
              <w:jc w:val="left"/>
              <w:rPr>
                <w:color w:val="000000"/>
              </w:rPr>
            </w:pPr>
            <w:r w:rsidRPr="0021398F">
              <w:rPr>
                <w:color w:val="000000"/>
              </w:rPr>
              <w:t>Canada</w:t>
            </w:r>
          </w:p>
        </w:tc>
        <w:tc>
          <w:tcPr>
            <w:tcW w:w="1317" w:type="dxa"/>
            <w:tcBorders>
              <w:top w:val="nil"/>
              <w:left w:val="nil"/>
              <w:bottom w:val="nil"/>
              <w:right w:val="nil"/>
            </w:tcBorders>
            <w:shd w:val="clear" w:color="auto" w:fill="auto"/>
            <w:noWrap/>
            <w:vAlign w:val="bottom"/>
            <w:hideMark/>
          </w:tcPr>
          <w:p w14:paraId="5CE62A6E" w14:textId="48DA9BA9"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04F6B09B" w14:textId="7175343D" w:rsidR="00935CA9" w:rsidRPr="0021398F" w:rsidRDefault="00935CA9" w:rsidP="00935CA9">
            <w:pPr>
              <w:spacing w:after="0" w:line="240" w:lineRule="auto"/>
              <w:rPr>
                <w:color w:val="000000"/>
              </w:rPr>
            </w:pPr>
            <w:r>
              <w:rPr>
                <w:color w:val="000000"/>
              </w:rPr>
              <w:t>.87</w:t>
            </w:r>
          </w:p>
        </w:tc>
        <w:tc>
          <w:tcPr>
            <w:tcW w:w="1440" w:type="dxa"/>
            <w:tcBorders>
              <w:top w:val="nil"/>
              <w:left w:val="nil"/>
              <w:bottom w:val="nil"/>
              <w:right w:val="nil"/>
            </w:tcBorders>
            <w:shd w:val="clear" w:color="auto" w:fill="auto"/>
            <w:noWrap/>
            <w:vAlign w:val="center"/>
            <w:hideMark/>
          </w:tcPr>
          <w:p w14:paraId="06E1DA57" w14:textId="77777777" w:rsidR="00935CA9" w:rsidRPr="0021398F" w:rsidRDefault="00935CA9" w:rsidP="00935CA9">
            <w:pPr>
              <w:spacing w:after="0" w:line="240" w:lineRule="auto"/>
              <w:rPr>
                <w:color w:val="000000"/>
              </w:rPr>
            </w:pPr>
            <w:r w:rsidRPr="0021398F">
              <w:rPr>
                <w:color w:val="000000"/>
              </w:rPr>
              <w:t>.87</w:t>
            </w:r>
          </w:p>
        </w:tc>
        <w:tc>
          <w:tcPr>
            <w:tcW w:w="1379" w:type="dxa"/>
            <w:tcBorders>
              <w:top w:val="nil"/>
              <w:left w:val="nil"/>
              <w:bottom w:val="nil"/>
              <w:right w:val="nil"/>
            </w:tcBorders>
            <w:shd w:val="clear" w:color="auto" w:fill="auto"/>
            <w:noWrap/>
            <w:vAlign w:val="bottom"/>
            <w:hideMark/>
          </w:tcPr>
          <w:p w14:paraId="2181FFA4" w14:textId="77777777" w:rsidR="00935CA9" w:rsidRPr="0021398F" w:rsidRDefault="00935CA9" w:rsidP="00935CA9">
            <w:pPr>
              <w:spacing w:after="0" w:line="240" w:lineRule="auto"/>
              <w:rPr>
                <w:color w:val="000000"/>
              </w:rPr>
            </w:pPr>
            <w:r w:rsidRPr="0021398F">
              <w:rPr>
                <w:color w:val="000000"/>
              </w:rPr>
              <w:t>.69</w:t>
            </w:r>
          </w:p>
        </w:tc>
      </w:tr>
      <w:tr w:rsidR="00935CA9" w:rsidRPr="0021398F" w14:paraId="66688D22" w14:textId="77777777" w:rsidTr="00F866EA">
        <w:trPr>
          <w:trHeight w:val="299"/>
        </w:trPr>
        <w:tc>
          <w:tcPr>
            <w:tcW w:w="1923" w:type="dxa"/>
            <w:tcBorders>
              <w:top w:val="nil"/>
              <w:left w:val="nil"/>
              <w:bottom w:val="nil"/>
              <w:right w:val="nil"/>
            </w:tcBorders>
            <w:shd w:val="clear" w:color="auto" w:fill="auto"/>
            <w:noWrap/>
            <w:vAlign w:val="bottom"/>
            <w:hideMark/>
          </w:tcPr>
          <w:p w14:paraId="0ED02F34" w14:textId="77777777" w:rsidR="00935CA9" w:rsidRPr="0021398F" w:rsidRDefault="00935CA9" w:rsidP="00935CA9">
            <w:pPr>
              <w:spacing w:after="0" w:line="240" w:lineRule="auto"/>
              <w:jc w:val="left"/>
              <w:rPr>
                <w:color w:val="000000"/>
              </w:rPr>
            </w:pPr>
            <w:r w:rsidRPr="0021398F">
              <w:rPr>
                <w:color w:val="000000"/>
              </w:rPr>
              <w:t>Chile</w:t>
            </w:r>
          </w:p>
        </w:tc>
        <w:tc>
          <w:tcPr>
            <w:tcW w:w="1317" w:type="dxa"/>
            <w:tcBorders>
              <w:top w:val="nil"/>
              <w:left w:val="nil"/>
              <w:bottom w:val="nil"/>
              <w:right w:val="nil"/>
            </w:tcBorders>
            <w:shd w:val="clear" w:color="auto" w:fill="auto"/>
            <w:noWrap/>
            <w:vAlign w:val="bottom"/>
            <w:hideMark/>
          </w:tcPr>
          <w:p w14:paraId="63AF8BD2" w14:textId="61332A44"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6093DE64" w14:textId="20CE4D3A" w:rsidR="00935CA9" w:rsidRPr="0021398F" w:rsidRDefault="00935CA9" w:rsidP="00935CA9">
            <w:pPr>
              <w:spacing w:after="0" w:line="240" w:lineRule="auto"/>
              <w:rPr>
                <w:color w:val="000000"/>
              </w:rPr>
            </w:pPr>
            <w:r>
              <w:rPr>
                <w:color w:val="000000"/>
              </w:rPr>
              <w:t>.86</w:t>
            </w:r>
          </w:p>
        </w:tc>
        <w:tc>
          <w:tcPr>
            <w:tcW w:w="1440" w:type="dxa"/>
            <w:tcBorders>
              <w:top w:val="nil"/>
              <w:left w:val="nil"/>
              <w:bottom w:val="nil"/>
              <w:right w:val="nil"/>
            </w:tcBorders>
            <w:shd w:val="clear" w:color="auto" w:fill="auto"/>
            <w:noWrap/>
            <w:vAlign w:val="center"/>
            <w:hideMark/>
          </w:tcPr>
          <w:p w14:paraId="23C779C6" w14:textId="77777777" w:rsidR="00935CA9" w:rsidRPr="0021398F" w:rsidRDefault="00935CA9" w:rsidP="00935CA9">
            <w:pPr>
              <w:spacing w:after="0" w:line="240" w:lineRule="auto"/>
              <w:rPr>
                <w:color w:val="000000"/>
              </w:rPr>
            </w:pPr>
            <w:r w:rsidRPr="0021398F">
              <w:rPr>
                <w:color w:val="000000"/>
              </w:rPr>
              <w:t>.86</w:t>
            </w:r>
          </w:p>
        </w:tc>
        <w:tc>
          <w:tcPr>
            <w:tcW w:w="1379" w:type="dxa"/>
            <w:tcBorders>
              <w:top w:val="nil"/>
              <w:left w:val="nil"/>
              <w:bottom w:val="nil"/>
              <w:right w:val="nil"/>
            </w:tcBorders>
            <w:shd w:val="clear" w:color="auto" w:fill="auto"/>
            <w:noWrap/>
            <w:vAlign w:val="bottom"/>
            <w:hideMark/>
          </w:tcPr>
          <w:p w14:paraId="3697536F" w14:textId="77777777" w:rsidR="00935CA9" w:rsidRPr="0021398F" w:rsidRDefault="00935CA9" w:rsidP="00935CA9">
            <w:pPr>
              <w:spacing w:after="0" w:line="240" w:lineRule="auto"/>
              <w:rPr>
                <w:color w:val="000000"/>
              </w:rPr>
            </w:pPr>
            <w:r w:rsidRPr="0021398F">
              <w:rPr>
                <w:color w:val="000000"/>
              </w:rPr>
              <w:t>.68</w:t>
            </w:r>
          </w:p>
        </w:tc>
      </w:tr>
      <w:tr w:rsidR="00935CA9" w:rsidRPr="0021398F" w14:paraId="139A69F1" w14:textId="77777777" w:rsidTr="00F866EA">
        <w:trPr>
          <w:trHeight w:val="299"/>
        </w:trPr>
        <w:tc>
          <w:tcPr>
            <w:tcW w:w="1923" w:type="dxa"/>
            <w:tcBorders>
              <w:top w:val="nil"/>
              <w:left w:val="nil"/>
              <w:bottom w:val="nil"/>
              <w:right w:val="nil"/>
            </w:tcBorders>
            <w:shd w:val="clear" w:color="auto" w:fill="auto"/>
            <w:noWrap/>
            <w:vAlign w:val="bottom"/>
            <w:hideMark/>
          </w:tcPr>
          <w:p w14:paraId="53FB39F3" w14:textId="77777777" w:rsidR="00935CA9" w:rsidRPr="0021398F" w:rsidRDefault="00935CA9" w:rsidP="00935CA9">
            <w:pPr>
              <w:spacing w:after="0" w:line="240" w:lineRule="auto"/>
              <w:jc w:val="left"/>
              <w:rPr>
                <w:color w:val="000000"/>
              </w:rPr>
            </w:pPr>
            <w:r w:rsidRPr="0021398F">
              <w:rPr>
                <w:color w:val="000000"/>
              </w:rPr>
              <w:t>China</w:t>
            </w:r>
          </w:p>
        </w:tc>
        <w:tc>
          <w:tcPr>
            <w:tcW w:w="1317" w:type="dxa"/>
            <w:tcBorders>
              <w:top w:val="nil"/>
              <w:left w:val="nil"/>
              <w:bottom w:val="nil"/>
              <w:right w:val="nil"/>
            </w:tcBorders>
            <w:shd w:val="clear" w:color="auto" w:fill="auto"/>
            <w:noWrap/>
            <w:vAlign w:val="bottom"/>
            <w:hideMark/>
          </w:tcPr>
          <w:p w14:paraId="67EB0EFE" w14:textId="4F3233BD" w:rsidR="00935CA9" w:rsidRPr="0021398F" w:rsidRDefault="00935CA9" w:rsidP="00935CA9">
            <w:pPr>
              <w:spacing w:after="0" w:line="240" w:lineRule="auto"/>
              <w:rPr>
                <w:color w:val="000000"/>
              </w:rPr>
            </w:pPr>
            <w:r>
              <w:rPr>
                <w:color w:val="000000"/>
              </w:rPr>
              <w:t>.83</w:t>
            </w:r>
          </w:p>
        </w:tc>
        <w:tc>
          <w:tcPr>
            <w:tcW w:w="1350" w:type="dxa"/>
            <w:tcBorders>
              <w:top w:val="nil"/>
              <w:left w:val="nil"/>
              <w:bottom w:val="nil"/>
              <w:right w:val="nil"/>
            </w:tcBorders>
            <w:shd w:val="clear" w:color="auto" w:fill="auto"/>
            <w:noWrap/>
            <w:vAlign w:val="bottom"/>
            <w:hideMark/>
          </w:tcPr>
          <w:p w14:paraId="3FAB1FCF" w14:textId="2746FF58" w:rsidR="00935CA9" w:rsidRPr="0021398F" w:rsidRDefault="00935CA9" w:rsidP="00935CA9">
            <w:pPr>
              <w:spacing w:after="0" w:line="240" w:lineRule="auto"/>
              <w:rPr>
                <w:color w:val="000000"/>
              </w:rPr>
            </w:pPr>
            <w:r>
              <w:rPr>
                <w:color w:val="000000"/>
              </w:rPr>
              <w:t>.04</w:t>
            </w:r>
          </w:p>
        </w:tc>
        <w:tc>
          <w:tcPr>
            <w:tcW w:w="1440" w:type="dxa"/>
            <w:tcBorders>
              <w:top w:val="nil"/>
              <w:left w:val="nil"/>
              <w:bottom w:val="nil"/>
              <w:right w:val="nil"/>
            </w:tcBorders>
            <w:shd w:val="clear" w:color="auto" w:fill="auto"/>
            <w:noWrap/>
            <w:vAlign w:val="center"/>
            <w:hideMark/>
          </w:tcPr>
          <w:p w14:paraId="22F01381" w14:textId="77777777" w:rsidR="00935CA9" w:rsidRPr="0021398F" w:rsidRDefault="00935CA9" w:rsidP="00935CA9">
            <w:pPr>
              <w:spacing w:after="0" w:line="240" w:lineRule="auto"/>
              <w:rPr>
                <w:color w:val="000000"/>
              </w:rPr>
            </w:pPr>
            <w:r w:rsidRPr="0021398F">
              <w:rPr>
                <w:color w:val="000000"/>
              </w:rPr>
              <w:t>.78</w:t>
            </w:r>
          </w:p>
        </w:tc>
        <w:tc>
          <w:tcPr>
            <w:tcW w:w="1379" w:type="dxa"/>
            <w:tcBorders>
              <w:top w:val="nil"/>
              <w:left w:val="nil"/>
              <w:bottom w:val="nil"/>
              <w:right w:val="nil"/>
            </w:tcBorders>
            <w:shd w:val="clear" w:color="auto" w:fill="auto"/>
            <w:noWrap/>
            <w:vAlign w:val="bottom"/>
            <w:hideMark/>
          </w:tcPr>
          <w:p w14:paraId="6F290464" w14:textId="77777777" w:rsidR="00935CA9" w:rsidRPr="0021398F" w:rsidRDefault="00935CA9" w:rsidP="00935CA9">
            <w:pPr>
              <w:spacing w:after="0" w:line="240" w:lineRule="auto"/>
              <w:rPr>
                <w:color w:val="000000"/>
              </w:rPr>
            </w:pPr>
            <w:r w:rsidRPr="0021398F">
              <w:rPr>
                <w:color w:val="000000"/>
              </w:rPr>
              <w:t>.57</w:t>
            </w:r>
          </w:p>
        </w:tc>
      </w:tr>
      <w:tr w:rsidR="00935CA9" w:rsidRPr="0021398F" w14:paraId="4F8924BB" w14:textId="77777777" w:rsidTr="00F866EA">
        <w:trPr>
          <w:trHeight w:val="299"/>
        </w:trPr>
        <w:tc>
          <w:tcPr>
            <w:tcW w:w="1923" w:type="dxa"/>
            <w:tcBorders>
              <w:top w:val="nil"/>
              <w:left w:val="nil"/>
              <w:bottom w:val="nil"/>
              <w:right w:val="nil"/>
            </w:tcBorders>
            <w:shd w:val="clear" w:color="auto" w:fill="auto"/>
            <w:noWrap/>
            <w:vAlign w:val="bottom"/>
            <w:hideMark/>
          </w:tcPr>
          <w:p w14:paraId="25DEEE89" w14:textId="77777777" w:rsidR="00935CA9" w:rsidRPr="0021398F" w:rsidRDefault="00935CA9" w:rsidP="00935CA9">
            <w:pPr>
              <w:spacing w:after="0" w:line="240" w:lineRule="auto"/>
              <w:jc w:val="left"/>
              <w:rPr>
                <w:color w:val="000000"/>
              </w:rPr>
            </w:pPr>
            <w:r w:rsidRPr="0021398F">
              <w:rPr>
                <w:color w:val="000000"/>
              </w:rPr>
              <w:t>Colombia</w:t>
            </w:r>
          </w:p>
        </w:tc>
        <w:tc>
          <w:tcPr>
            <w:tcW w:w="1317" w:type="dxa"/>
            <w:tcBorders>
              <w:top w:val="nil"/>
              <w:left w:val="nil"/>
              <w:bottom w:val="nil"/>
              <w:right w:val="nil"/>
            </w:tcBorders>
            <w:shd w:val="clear" w:color="auto" w:fill="auto"/>
            <w:noWrap/>
            <w:vAlign w:val="bottom"/>
            <w:hideMark/>
          </w:tcPr>
          <w:p w14:paraId="7471C925" w14:textId="631DE21C" w:rsidR="00935CA9" w:rsidRPr="0021398F" w:rsidRDefault="00935CA9" w:rsidP="00935CA9">
            <w:pPr>
              <w:spacing w:after="0" w:line="240" w:lineRule="auto"/>
              <w:rPr>
                <w:color w:val="000000"/>
              </w:rPr>
            </w:pPr>
            <w:r>
              <w:rPr>
                <w:color w:val="000000"/>
              </w:rPr>
              <w:t>.77</w:t>
            </w:r>
          </w:p>
        </w:tc>
        <w:tc>
          <w:tcPr>
            <w:tcW w:w="1350" w:type="dxa"/>
            <w:tcBorders>
              <w:top w:val="nil"/>
              <w:left w:val="nil"/>
              <w:bottom w:val="nil"/>
              <w:right w:val="nil"/>
            </w:tcBorders>
            <w:shd w:val="clear" w:color="auto" w:fill="auto"/>
            <w:noWrap/>
            <w:vAlign w:val="bottom"/>
            <w:hideMark/>
          </w:tcPr>
          <w:p w14:paraId="4C3E864E" w14:textId="52D8B44B" w:rsidR="00935CA9" w:rsidRPr="0021398F" w:rsidRDefault="00935CA9" w:rsidP="00935CA9">
            <w:pPr>
              <w:spacing w:after="0" w:line="240" w:lineRule="auto"/>
              <w:rPr>
                <w:color w:val="000000"/>
              </w:rPr>
            </w:pPr>
            <w:r>
              <w:rPr>
                <w:color w:val="000000"/>
              </w:rPr>
              <w:t>.38</w:t>
            </w:r>
          </w:p>
        </w:tc>
        <w:tc>
          <w:tcPr>
            <w:tcW w:w="1440" w:type="dxa"/>
            <w:tcBorders>
              <w:top w:val="nil"/>
              <w:left w:val="nil"/>
              <w:bottom w:val="nil"/>
              <w:right w:val="nil"/>
            </w:tcBorders>
            <w:shd w:val="clear" w:color="auto" w:fill="auto"/>
            <w:noWrap/>
            <w:vAlign w:val="center"/>
            <w:hideMark/>
          </w:tcPr>
          <w:p w14:paraId="15B32D8A" w14:textId="77777777" w:rsidR="00935CA9" w:rsidRPr="0021398F" w:rsidRDefault="00935CA9" w:rsidP="00935CA9">
            <w:pPr>
              <w:spacing w:after="0" w:line="240" w:lineRule="auto"/>
              <w:rPr>
                <w:color w:val="000000"/>
              </w:rPr>
            </w:pPr>
            <w:r w:rsidRPr="0021398F">
              <w:rPr>
                <w:color w:val="000000"/>
              </w:rPr>
              <w:t>.66</w:t>
            </w:r>
          </w:p>
        </w:tc>
        <w:tc>
          <w:tcPr>
            <w:tcW w:w="1379" w:type="dxa"/>
            <w:tcBorders>
              <w:top w:val="nil"/>
              <w:left w:val="nil"/>
              <w:bottom w:val="nil"/>
              <w:right w:val="nil"/>
            </w:tcBorders>
            <w:shd w:val="clear" w:color="auto" w:fill="auto"/>
            <w:noWrap/>
            <w:vAlign w:val="bottom"/>
            <w:hideMark/>
          </w:tcPr>
          <w:p w14:paraId="15E6BA63" w14:textId="77777777" w:rsidR="00935CA9" w:rsidRPr="0021398F" w:rsidRDefault="00935CA9" w:rsidP="00935CA9">
            <w:pPr>
              <w:spacing w:after="0" w:line="240" w:lineRule="auto"/>
              <w:rPr>
                <w:color w:val="000000"/>
              </w:rPr>
            </w:pPr>
            <w:r w:rsidRPr="0021398F">
              <w:rPr>
                <w:color w:val="000000"/>
              </w:rPr>
              <w:t>.50</w:t>
            </w:r>
          </w:p>
        </w:tc>
      </w:tr>
      <w:tr w:rsidR="00935CA9" w:rsidRPr="0021398F" w14:paraId="4244996F" w14:textId="77777777" w:rsidTr="00F866EA">
        <w:trPr>
          <w:trHeight w:val="299"/>
        </w:trPr>
        <w:tc>
          <w:tcPr>
            <w:tcW w:w="1923" w:type="dxa"/>
            <w:tcBorders>
              <w:top w:val="nil"/>
              <w:left w:val="nil"/>
              <w:bottom w:val="nil"/>
              <w:right w:val="nil"/>
            </w:tcBorders>
            <w:shd w:val="clear" w:color="auto" w:fill="auto"/>
            <w:noWrap/>
            <w:vAlign w:val="bottom"/>
            <w:hideMark/>
          </w:tcPr>
          <w:p w14:paraId="5B52FFAF" w14:textId="77777777" w:rsidR="00935CA9" w:rsidRPr="0021398F" w:rsidRDefault="00935CA9" w:rsidP="00935CA9">
            <w:pPr>
              <w:spacing w:after="0" w:line="240" w:lineRule="auto"/>
              <w:jc w:val="left"/>
              <w:rPr>
                <w:color w:val="000000"/>
              </w:rPr>
            </w:pPr>
            <w:r w:rsidRPr="0021398F">
              <w:rPr>
                <w:color w:val="000000"/>
              </w:rPr>
              <w:t>Croatia</w:t>
            </w:r>
          </w:p>
        </w:tc>
        <w:tc>
          <w:tcPr>
            <w:tcW w:w="1317" w:type="dxa"/>
            <w:tcBorders>
              <w:top w:val="nil"/>
              <w:left w:val="nil"/>
              <w:bottom w:val="nil"/>
              <w:right w:val="nil"/>
            </w:tcBorders>
            <w:shd w:val="clear" w:color="auto" w:fill="auto"/>
            <w:noWrap/>
            <w:vAlign w:val="bottom"/>
            <w:hideMark/>
          </w:tcPr>
          <w:p w14:paraId="1A27D00B" w14:textId="7AE0B588" w:rsidR="00935CA9" w:rsidRPr="0021398F" w:rsidRDefault="00935CA9" w:rsidP="00935CA9">
            <w:pPr>
              <w:spacing w:after="0" w:line="240" w:lineRule="auto"/>
              <w:rPr>
                <w:color w:val="000000"/>
              </w:rPr>
            </w:pPr>
            <w:r>
              <w:rPr>
                <w:color w:val="000000"/>
              </w:rPr>
              <w:t>.91</w:t>
            </w:r>
          </w:p>
        </w:tc>
        <w:tc>
          <w:tcPr>
            <w:tcW w:w="1350" w:type="dxa"/>
            <w:tcBorders>
              <w:top w:val="nil"/>
              <w:left w:val="nil"/>
              <w:bottom w:val="nil"/>
              <w:right w:val="nil"/>
            </w:tcBorders>
            <w:shd w:val="clear" w:color="auto" w:fill="auto"/>
            <w:noWrap/>
            <w:vAlign w:val="bottom"/>
            <w:hideMark/>
          </w:tcPr>
          <w:p w14:paraId="0464E5F4" w14:textId="5C3DE169" w:rsidR="00935CA9" w:rsidRPr="0021398F" w:rsidRDefault="00935CA9" w:rsidP="00935CA9">
            <w:pPr>
              <w:spacing w:after="0" w:line="240" w:lineRule="auto"/>
              <w:rPr>
                <w:color w:val="000000"/>
              </w:rPr>
            </w:pPr>
            <w:r>
              <w:rPr>
                <w:color w:val="000000"/>
              </w:rPr>
              <w:t>.86</w:t>
            </w:r>
          </w:p>
        </w:tc>
        <w:tc>
          <w:tcPr>
            <w:tcW w:w="1440" w:type="dxa"/>
            <w:tcBorders>
              <w:top w:val="nil"/>
              <w:left w:val="nil"/>
              <w:bottom w:val="nil"/>
              <w:right w:val="nil"/>
            </w:tcBorders>
            <w:shd w:val="clear" w:color="auto" w:fill="auto"/>
            <w:noWrap/>
            <w:vAlign w:val="center"/>
            <w:hideMark/>
          </w:tcPr>
          <w:p w14:paraId="2DD67EB5" w14:textId="77777777" w:rsidR="00935CA9" w:rsidRPr="0021398F" w:rsidRDefault="00935CA9" w:rsidP="00935CA9">
            <w:pPr>
              <w:spacing w:after="0" w:line="240" w:lineRule="auto"/>
              <w:rPr>
                <w:color w:val="000000"/>
              </w:rPr>
            </w:pPr>
            <w:r w:rsidRPr="0021398F">
              <w:rPr>
                <w:color w:val="000000"/>
              </w:rPr>
              <w:t>.86</w:t>
            </w:r>
          </w:p>
        </w:tc>
        <w:tc>
          <w:tcPr>
            <w:tcW w:w="1379" w:type="dxa"/>
            <w:tcBorders>
              <w:top w:val="nil"/>
              <w:left w:val="nil"/>
              <w:bottom w:val="nil"/>
              <w:right w:val="nil"/>
            </w:tcBorders>
            <w:shd w:val="clear" w:color="auto" w:fill="auto"/>
            <w:noWrap/>
            <w:vAlign w:val="bottom"/>
            <w:hideMark/>
          </w:tcPr>
          <w:p w14:paraId="18C7C105" w14:textId="77777777" w:rsidR="00935CA9" w:rsidRPr="0021398F" w:rsidRDefault="00935CA9" w:rsidP="00935CA9">
            <w:pPr>
              <w:spacing w:after="0" w:line="240" w:lineRule="auto"/>
              <w:rPr>
                <w:color w:val="000000"/>
              </w:rPr>
            </w:pPr>
            <w:r w:rsidRPr="0021398F">
              <w:rPr>
                <w:color w:val="000000"/>
              </w:rPr>
              <w:t>.73</w:t>
            </w:r>
          </w:p>
        </w:tc>
      </w:tr>
      <w:tr w:rsidR="00935CA9" w:rsidRPr="0021398F" w14:paraId="3C9CA26A" w14:textId="77777777" w:rsidTr="00F866EA">
        <w:trPr>
          <w:trHeight w:val="299"/>
        </w:trPr>
        <w:tc>
          <w:tcPr>
            <w:tcW w:w="1923" w:type="dxa"/>
            <w:tcBorders>
              <w:top w:val="nil"/>
              <w:left w:val="nil"/>
              <w:bottom w:val="nil"/>
              <w:right w:val="nil"/>
            </w:tcBorders>
            <w:shd w:val="clear" w:color="auto" w:fill="auto"/>
            <w:noWrap/>
            <w:vAlign w:val="bottom"/>
            <w:hideMark/>
          </w:tcPr>
          <w:p w14:paraId="5CBF0F24" w14:textId="77777777" w:rsidR="00935CA9" w:rsidRPr="0021398F" w:rsidRDefault="00935CA9" w:rsidP="00935CA9">
            <w:pPr>
              <w:spacing w:after="0" w:line="240" w:lineRule="auto"/>
              <w:jc w:val="left"/>
              <w:rPr>
                <w:color w:val="000000"/>
              </w:rPr>
            </w:pPr>
            <w:r w:rsidRPr="0021398F">
              <w:rPr>
                <w:color w:val="000000"/>
              </w:rPr>
              <w:t>Czech Republic</w:t>
            </w:r>
          </w:p>
        </w:tc>
        <w:tc>
          <w:tcPr>
            <w:tcW w:w="1317" w:type="dxa"/>
            <w:tcBorders>
              <w:top w:val="nil"/>
              <w:left w:val="nil"/>
              <w:bottom w:val="nil"/>
              <w:right w:val="nil"/>
            </w:tcBorders>
            <w:shd w:val="clear" w:color="auto" w:fill="auto"/>
            <w:noWrap/>
            <w:vAlign w:val="bottom"/>
            <w:hideMark/>
          </w:tcPr>
          <w:p w14:paraId="28B4AD6C" w14:textId="54101F8F" w:rsidR="00935CA9" w:rsidRPr="0021398F" w:rsidRDefault="00935CA9" w:rsidP="00935CA9">
            <w:pPr>
              <w:spacing w:after="0" w:line="240" w:lineRule="auto"/>
              <w:rPr>
                <w:color w:val="000000"/>
              </w:rPr>
            </w:pPr>
            <w:r>
              <w:rPr>
                <w:color w:val="000000"/>
              </w:rPr>
              <w:t>.90</w:t>
            </w:r>
          </w:p>
        </w:tc>
        <w:tc>
          <w:tcPr>
            <w:tcW w:w="1350" w:type="dxa"/>
            <w:tcBorders>
              <w:top w:val="nil"/>
              <w:left w:val="nil"/>
              <w:bottom w:val="nil"/>
              <w:right w:val="nil"/>
            </w:tcBorders>
            <w:shd w:val="clear" w:color="auto" w:fill="auto"/>
            <w:noWrap/>
            <w:vAlign w:val="bottom"/>
            <w:hideMark/>
          </w:tcPr>
          <w:p w14:paraId="366DDDCE" w14:textId="311714AC" w:rsidR="00935CA9" w:rsidRPr="0021398F" w:rsidRDefault="00935CA9" w:rsidP="00935CA9">
            <w:pPr>
              <w:spacing w:after="0" w:line="240" w:lineRule="auto"/>
              <w:rPr>
                <w:color w:val="000000"/>
              </w:rPr>
            </w:pPr>
            <w:r>
              <w:rPr>
                <w:color w:val="000000"/>
              </w:rPr>
              <w:t>.84</w:t>
            </w:r>
          </w:p>
        </w:tc>
        <w:tc>
          <w:tcPr>
            <w:tcW w:w="1440" w:type="dxa"/>
            <w:tcBorders>
              <w:top w:val="nil"/>
              <w:left w:val="nil"/>
              <w:bottom w:val="nil"/>
              <w:right w:val="nil"/>
            </w:tcBorders>
            <w:shd w:val="clear" w:color="auto" w:fill="auto"/>
            <w:noWrap/>
            <w:vAlign w:val="center"/>
            <w:hideMark/>
          </w:tcPr>
          <w:p w14:paraId="2FE2EBF2" w14:textId="77777777" w:rsidR="00935CA9" w:rsidRPr="0021398F" w:rsidRDefault="00935CA9" w:rsidP="00935CA9">
            <w:pPr>
              <w:spacing w:after="0" w:line="240" w:lineRule="auto"/>
              <w:rPr>
                <w:color w:val="000000"/>
              </w:rPr>
            </w:pPr>
            <w:r w:rsidRPr="0021398F">
              <w:rPr>
                <w:color w:val="000000"/>
              </w:rPr>
              <w:t>.84</w:t>
            </w:r>
          </w:p>
        </w:tc>
        <w:tc>
          <w:tcPr>
            <w:tcW w:w="1379" w:type="dxa"/>
            <w:tcBorders>
              <w:top w:val="nil"/>
              <w:left w:val="nil"/>
              <w:bottom w:val="nil"/>
              <w:right w:val="nil"/>
            </w:tcBorders>
            <w:shd w:val="clear" w:color="auto" w:fill="auto"/>
            <w:noWrap/>
            <w:vAlign w:val="bottom"/>
            <w:hideMark/>
          </w:tcPr>
          <w:p w14:paraId="2F828106" w14:textId="77777777" w:rsidR="00935CA9" w:rsidRPr="0021398F" w:rsidRDefault="00935CA9" w:rsidP="00935CA9">
            <w:pPr>
              <w:spacing w:after="0" w:line="240" w:lineRule="auto"/>
              <w:rPr>
                <w:color w:val="000000"/>
              </w:rPr>
            </w:pPr>
            <w:r w:rsidRPr="0021398F">
              <w:rPr>
                <w:color w:val="000000"/>
              </w:rPr>
              <w:t>.71</w:t>
            </w:r>
          </w:p>
        </w:tc>
      </w:tr>
      <w:tr w:rsidR="00935CA9" w:rsidRPr="0021398F" w14:paraId="042458BB" w14:textId="77777777" w:rsidTr="00F866EA">
        <w:trPr>
          <w:trHeight w:val="299"/>
        </w:trPr>
        <w:tc>
          <w:tcPr>
            <w:tcW w:w="1923" w:type="dxa"/>
            <w:tcBorders>
              <w:top w:val="nil"/>
              <w:left w:val="nil"/>
              <w:bottom w:val="nil"/>
              <w:right w:val="nil"/>
            </w:tcBorders>
            <w:shd w:val="clear" w:color="auto" w:fill="auto"/>
            <w:noWrap/>
            <w:vAlign w:val="bottom"/>
            <w:hideMark/>
          </w:tcPr>
          <w:p w14:paraId="600F912D" w14:textId="77777777" w:rsidR="00935CA9" w:rsidRPr="0021398F" w:rsidRDefault="00935CA9" w:rsidP="00935CA9">
            <w:pPr>
              <w:spacing w:after="0" w:line="240" w:lineRule="auto"/>
              <w:jc w:val="left"/>
              <w:rPr>
                <w:color w:val="000000"/>
              </w:rPr>
            </w:pPr>
            <w:r w:rsidRPr="0021398F">
              <w:rPr>
                <w:color w:val="000000"/>
              </w:rPr>
              <w:t>Denmark</w:t>
            </w:r>
          </w:p>
        </w:tc>
        <w:tc>
          <w:tcPr>
            <w:tcW w:w="1317" w:type="dxa"/>
            <w:tcBorders>
              <w:top w:val="nil"/>
              <w:left w:val="nil"/>
              <w:bottom w:val="nil"/>
              <w:right w:val="nil"/>
            </w:tcBorders>
            <w:shd w:val="clear" w:color="auto" w:fill="auto"/>
            <w:noWrap/>
            <w:vAlign w:val="bottom"/>
            <w:hideMark/>
          </w:tcPr>
          <w:p w14:paraId="50414EED" w14:textId="1618D488" w:rsidR="00935CA9" w:rsidRPr="0021398F" w:rsidRDefault="00935CA9" w:rsidP="00935CA9">
            <w:pPr>
              <w:spacing w:after="0" w:line="240" w:lineRule="auto"/>
              <w:rPr>
                <w:color w:val="000000"/>
              </w:rPr>
            </w:pPr>
            <w:r>
              <w:rPr>
                <w:color w:val="000000"/>
              </w:rPr>
              <w:t>.91</w:t>
            </w:r>
          </w:p>
        </w:tc>
        <w:tc>
          <w:tcPr>
            <w:tcW w:w="1350" w:type="dxa"/>
            <w:tcBorders>
              <w:top w:val="nil"/>
              <w:left w:val="nil"/>
              <w:bottom w:val="nil"/>
              <w:right w:val="nil"/>
            </w:tcBorders>
            <w:shd w:val="clear" w:color="auto" w:fill="auto"/>
            <w:noWrap/>
            <w:vAlign w:val="bottom"/>
            <w:hideMark/>
          </w:tcPr>
          <w:p w14:paraId="747DC34B" w14:textId="32BBCD3C" w:rsidR="00935CA9" w:rsidRPr="0021398F" w:rsidRDefault="00935CA9" w:rsidP="00935CA9">
            <w:pPr>
              <w:spacing w:after="0" w:line="240" w:lineRule="auto"/>
              <w:rPr>
                <w:color w:val="000000"/>
              </w:rPr>
            </w:pPr>
            <w:r>
              <w:rPr>
                <w:color w:val="000000"/>
              </w:rPr>
              <w:t>.88</w:t>
            </w:r>
          </w:p>
        </w:tc>
        <w:tc>
          <w:tcPr>
            <w:tcW w:w="1440" w:type="dxa"/>
            <w:tcBorders>
              <w:top w:val="nil"/>
              <w:left w:val="nil"/>
              <w:bottom w:val="nil"/>
              <w:right w:val="nil"/>
            </w:tcBorders>
            <w:shd w:val="clear" w:color="auto" w:fill="auto"/>
            <w:noWrap/>
            <w:vAlign w:val="center"/>
            <w:hideMark/>
          </w:tcPr>
          <w:p w14:paraId="17BA155A" w14:textId="77777777" w:rsidR="00935CA9" w:rsidRPr="0021398F" w:rsidRDefault="00935CA9" w:rsidP="00935CA9">
            <w:pPr>
              <w:spacing w:after="0" w:line="240" w:lineRule="auto"/>
              <w:rPr>
                <w:color w:val="000000"/>
              </w:rPr>
            </w:pPr>
            <w:r w:rsidRPr="0021398F">
              <w:rPr>
                <w:color w:val="000000"/>
              </w:rPr>
              <w:t>.88</w:t>
            </w:r>
          </w:p>
        </w:tc>
        <w:tc>
          <w:tcPr>
            <w:tcW w:w="1379" w:type="dxa"/>
            <w:tcBorders>
              <w:top w:val="nil"/>
              <w:left w:val="nil"/>
              <w:bottom w:val="nil"/>
              <w:right w:val="nil"/>
            </w:tcBorders>
            <w:shd w:val="clear" w:color="auto" w:fill="auto"/>
            <w:noWrap/>
            <w:vAlign w:val="bottom"/>
            <w:hideMark/>
          </w:tcPr>
          <w:p w14:paraId="58D1CFF9" w14:textId="77777777" w:rsidR="00935CA9" w:rsidRPr="0021398F" w:rsidRDefault="00935CA9" w:rsidP="00935CA9">
            <w:pPr>
              <w:spacing w:after="0" w:line="240" w:lineRule="auto"/>
              <w:rPr>
                <w:color w:val="000000"/>
              </w:rPr>
            </w:pPr>
            <w:r w:rsidRPr="0021398F">
              <w:rPr>
                <w:color w:val="000000"/>
              </w:rPr>
              <w:t>.73</w:t>
            </w:r>
          </w:p>
        </w:tc>
      </w:tr>
      <w:tr w:rsidR="00935CA9" w:rsidRPr="0021398F" w14:paraId="3BCD72E7" w14:textId="77777777" w:rsidTr="00F866EA">
        <w:trPr>
          <w:trHeight w:val="299"/>
        </w:trPr>
        <w:tc>
          <w:tcPr>
            <w:tcW w:w="1923" w:type="dxa"/>
            <w:tcBorders>
              <w:top w:val="nil"/>
              <w:left w:val="nil"/>
              <w:bottom w:val="nil"/>
              <w:right w:val="nil"/>
            </w:tcBorders>
            <w:shd w:val="clear" w:color="auto" w:fill="auto"/>
            <w:noWrap/>
            <w:vAlign w:val="bottom"/>
            <w:hideMark/>
          </w:tcPr>
          <w:p w14:paraId="016CA62D" w14:textId="77777777" w:rsidR="00935CA9" w:rsidRPr="0021398F" w:rsidRDefault="00935CA9" w:rsidP="00935CA9">
            <w:pPr>
              <w:spacing w:after="0" w:line="240" w:lineRule="auto"/>
              <w:jc w:val="left"/>
              <w:rPr>
                <w:color w:val="000000"/>
              </w:rPr>
            </w:pPr>
            <w:r w:rsidRPr="0021398F">
              <w:rPr>
                <w:color w:val="000000"/>
              </w:rPr>
              <w:t>Estonia</w:t>
            </w:r>
          </w:p>
        </w:tc>
        <w:tc>
          <w:tcPr>
            <w:tcW w:w="1317" w:type="dxa"/>
            <w:tcBorders>
              <w:top w:val="nil"/>
              <w:left w:val="nil"/>
              <w:bottom w:val="nil"/>
              <w:right w:val="nil"/>
            </w:tcBorders>
            <w:shd w:val="clear" w:color="auto" w:fill="auto"/>
            <w:noWrap/>
            <w:vAlign w:val="bottom"/>
            <w:hideMark/>
          </w:tcPr>
          <w:p w14:paraId="402FAE37" w14:textId="3A7DB8A5" w:rsidR="00935CA9" w:rsidRPr="0021398F" w:rsidRDefault="00935CA9" w:rsidP="00935CA9">
            <w:pPr>
              <w:spacing w:after="0" w:line="240" w:lineRule="auto"/>
              <w:rPr>
                <w:color w:val="000000"/>
              </w:rPr>
            </w:pPr>
            <w:r>
              <w:rPr>
                <w:color w:val="000000"/>
              </w:rPr>
              <w:t>.88</w:t>
            </w:r>
          </w:p>
        </w:tc>
        <w:tc>
          <w:tcPr>
            <w:tcW w:w="1350" w:type="dxa"/>
            <w:tcBorders>
              <w:top w:val="nil"/>
              <w:left w:val="nil"/>
              <w:bottom w:val="nil"/>
              <w:right w:val="nil"/>
            </w:tcBorders>
            <w:shd w:val="clear" w:color="auto" w:fill="auto"/>
            <w:noWrap/>
            <w:vAlign w:val="bottom"/>
            <w:hideMark/>
          </w:tcPr>
          <w:p w14:paraId="003B51B9" w14:textId="1B86D486" w:rsidR="00935CA9" w:rsidRPr="0021398F" w:rsidRDefault="00935CA9" w:rsidP="00935CA9">
            <w:pPr>
              <w:spacing w:after="0" w:line="240" w:lineRule="auto"/>
              <w:rPr>
                <w:color w:val="000000"/>
              </w:rPr>
            </w:pPr>
            <w:r>
              <w:rPr>
                <w:color w:val="000000"/>
              </w:rPr>
              <w:t>.00</w:t>
            </w:r>
          </w:p>
        </w:tc>
        <w:tc>
          <w:tcPr>
            <w:tcW w:w="1440" w:type="dxa"/>
            <w:tcBorders>
              <w:top w:val="nil"/>
              <w:left w:val="nil"/>
              <w:bottom w:val="nil"/>
              <w:right w:val="nil"/>
            </w:tcBorders>
            <w:shd w:val="clear" w:color="auto" w:fill="auto"/>
            <w:noWrap/>
            <w:vAlign w:val="center"/>
            <w:hideMark/>
          </w:tcPr>
          <w:p w14:paraId="7EBAC7B2" w14:textId="77777777" w:rsidR="00935CA9" w:rsidRPr="0021398F" w:rsidRDefault="00935CA9" w:rsidP="00935CA9">
            <w:pPr>
              <w:spacing w:after="0" w:line="240" w:lineRule="auto"/>
              <w:rPr>
                <w:color w:val="000000"/>
              </w:rPr>
            </w:pPr>
            <w:r w:rsidRPr="0021398F">
              <w:rPr>
                <w:color w:val="000000"/>
              </w:rPr>
              <w:t>.87</w:t>
            </w:r>
          </w:p>
        </w:tc>
        <w:tc>
          <w:tcPr>
            <w:tcW w:w="1379" w:type="dxa"/>
            <w:tcBorders>
              <w:top w:val="nil"/>
              <w:left w:val="nil"/>
              <w:bottom w:val="nil"/>
              <w:right w:val="nil"/>
            </w:tcBorders>
            <w:shd w:val="clear" w:color="auto" w:fill="auto"/>
            <w:noWrap/>
            <w:vAlign w:val="bottom"/>
            <w:hideMark/>
          </w:tcPr>
          <w:p w14:paraId="5E8BFF49" w14:textId="77777777" w:rsidR="00935CA9" w:rsidRPr="0021398F" w:rsidRDefault="00935CA9" w:rsidP="00935CA9">
            <w:pPr>
              <w:spacing w:after="0" w:line="240" w:lineRule="auto"/>
              <w:rPr>
                <w:color w:val="000000"/>
              </w:rPr>
            </w:pPr>
            <w:r w:rsidRPr="0021398F">
              <w:rPr>
                <w:color w:val="000000"/>
              </w:rPr>
              <w:t>.65</w:t>
            </w:r>
          </w:p>
        </w:tc>
      </w:tr>
      <w:tr w:rsidR="00935CA9" w:rsidRPr="0021398F" w14:paraId="208901A9" w14:textId="77777777" w:rsidTr="00F866EA">
        <w:trPr>
          <w:trHeight w:val="299"/>
        </w:trPr>
        <w:tc>
          <w:tcPr>
            <w:tcW w:w="1923" w:type="dxa"/>
            <w:tcBorders>
              <w:top w:val="nil"/>
              <w:left w:val="nil"/>
              <w:bottom w:val="nil"/>
              <w:right w:val="nil"/>
            </w:tcBorders>
            <w:shd w:val="clear" w:color="auto" w:fill="auto"/>
            <w:noWrap/>
            <w:vAlign w:val="bottom"/>
            <w:hideMark/>
          </w:tcPr>
          <w:p w14:paraId="53BDEA86" w14:textId="77777777" w:rsidR="00935CA9" w:rsidRPr="0021398F" w:rsidRDefault="00935CA9" w:rsidP="00935CA9">
            <w:pPr>
              <w:spacing w:after="0" w:line="240" w:lineRule="auto"/>
              <w:jc w:val="left"/>
              <w:rPr>
                <w:color w:val="000000"/>
              </w:rPr>
            </w:pPr>
            <w:r w:rsidRPr="0021398F">
              <w:rPr>
                <w:color w:val="000000"/>
              </w:rPr>
              <w:t>France</w:t>
            </w:r>
          </w:p>
        </w:tc>
        <w:tc>
          <w:tcPr>
            <w:tcW w:w="1317" w:type="dxa"/>
            <w:tcBorders>
              <w:top w:val="nil"/>
              <w:left w:val="nil"/>
              <w:bottom w:val="nil"/>
              <w:right w:val="nil"/>
            </w:tcBorders>
            <w:shd w:val="clear" w:color="auto" w:fill="auto"/>
            <w:noWrap/>
            <w:vAlign w:val="bottom"/>
            <w:hideMark/>
          </w:tcPr>
          <w:p w14:paraId="37DAF205" w14:textId="0DDAEFBE"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65836D66" w14:textId="2878FBC8" w:rsidR="00935CA9" w:rsidRPr="0021398F" w:rsidRDefault="00935CA9" w:rsidP="00935CA9">
            <w:pPr>
              <w:spacing w:after="0" w:line="240" w:lineRule="auto"/>
              <w:rPr>
                <w:color w:val="000000"/>
              </w:rPr>
            </w:pPr>
            <w:r>
              <w:rPr>
                <w:color w:val="000000"/>
              </w:rPr>
              <w:t>.79</w:t>
            </w:r>
          </w:p>
        </w:tc>
        <w:tc>
          <w:tcPr>
            <w:tcW w:w="1440" w:type="dxa"/>
            <w:tcBorders>
              <w:top w:val="nil"/>
              <w:left w:val="nil"/>
              <w:bottom w:val="nil"/>
              <w:right w:val="nil"/>
            </w:tcBorders>
            <w:shd w:val="clear" w:color="auto" w:fill="auto"/>
            <w:noWrap/>
            <w:vAlign w:val="center"/>
            <w:hideMark/>
          </w:tcPr>
          <w:p w14:paraId="7E08DC1C" w14:textId="77777777" w:rsidR="00935CA9" w:rsidRPr="0021398F" w:rsidRDefault="00935CA9" w:rsidP="00935CA9">
            <w:pPr>
              <w:spacing w:after="0" w:line="240" w:lineRule="auto"/>
              <w:rPr>
                <w:color w:val="000000"/>
              </w:rPr>
            </w:pPr>
            <w:r w:rsidRPr="0021398F">
              <w:rPr>
                <w:color w:val="000000"/>
              </w:rPr>
              <w:t>.79</w:t>
            </w:r>
          </w:p>
        </w:tc>
        <w:tc>
          <w:tcPr>
            <w:tcW w:w="1379" w:type="dxa"/>
            <w:tcBorders>
              <w:top w:val="nil"/>
              <w:left w:val="nil"/>
              <w:bottom w:val="nil"/>
              <w:right w:val="nil"/>
            </w:tcBorders>
            <w:shd w:val="clear" w:color="auto" w:fill="auto"/>
            <w:noWrap/>
            <w:vAlign w:val="bottom"/>
            <w:hideMark/>
          </w:tcPr>
          <w:p w14:paraId="34F11A41" w14:textId="77777777" w:rsidR="00935CA9" w:rsidRPr="0021398F" w:rsidRDefault="00935CA9" w:rsidP="00935CA9">
            <w:pPr>
              <w:spacing w:after="0" w:line="240" w:lineRule="auto"/>
              <w:rPr>
                <w:color w:val="000000"/>
              </w:rPr>
            </w:pPr>
            <w:r w:rsidRPr="0021398F">
              <w:rPr>
                <w:color w:val="000000"/>
              </w:rPr>
              <w:t>.70</w:t>
            </w:r>
          </w:p>
        </w:tc>
      </w:tr>
      <w:tr w:rsidR="00935CA9" w:rsidRPr="0021398F" w14:paraId="09BC0462" w14:textId="77777777" w:rsidTr="00F866EA">
        <w:trPr>
          <w:trHeight w:val="299"/>
        </w:trPr>
        <w:tc>
          <w:tcPr>
            <w:tcW w:w="1923" w:type="dxa"/>
            <w:tcBorders>
              <w:top w:val="nil"/>
              <w:left w:val="nil"/>
              <w:bottom w:val="nil"/>
              <w:right w:val="nil"/>
            </w:tcBorders>
            <w:shd w:val="clear" w:color="auto" w:fill="auto"/>
            <w:noWrap/>
            <w:vAlign w:val="bottom"/>
            <w:hideMark/>
          </w:tcPr>
          <w:p w14:paraId="43118643" w14:textId="77777777" w:rsidR="00935CA9" w:rsidRPr="0021398F" w:rsidRDefault="00935CA9" w:rsidP="00935CA9">
            <w:pPr>
              <w:spacing w:after="0" w:line="240" w:lineRule="auto"/>
              <w:jc w:val="left"/>
              <w:rPr>
                <w:color w:val="000000"/>
              </w:rPr>
            </w:pPr>
            <w:r w:rsidRPr="0021398F">
              <w:rPr>
                <w:color w:val="000000"/>
              </w:rPr>
              <w:t>Georgia</w:t>
            </w:r>
          </w:p>
        </w:tc>
        <w:tc>
          <w:tcPr>
            <w:tcW w:w="1317" w:type="dxa"/>
            <w:tcBorders>
              <w:top w:val="nil"/>
              <w:left w:val="nil"/>
              <w:bottom w:val="nil"/>
              <w:right w:val="nil"/>
            </w:tcBorders>
            <w:shd w:val="clear" w:color="auto" w:fill="auto"/>
            <w:noWrap/>
            <w:vAlign w:val="bottom"/>
            <w:hideMark/>
          </w:tcPr>
          <w:p w14:paraId="12589853" w14:textId="69578A48" w:rsidR="00935CA9" w:rsidRPr="0021398F" w:rsidRDefault="00935CA9" w:rsidP="00935CA9">
            <w:pPr>
              <w:spacing w:after="0" w:line="240" w:lineRule="auto"/>
              <w:rPr>
                <w:color w:val="000000"/>
              </w:rPr>
            </w:pPr>
            <w:r>
              <w:rPr>
                <w:color w:val="000000"/>
              </w:rPr>
              <w:t>.80</w:t>
            </w:r>
          </w:p>
        </w:tc>
        <w:tc>
          <w:tcPr>
            <w:tcW w:w="1350" w:type="dxa"/>
            <w:tcBorders>
              <w:top w:val="nil"/>
              <w:left w:val="nil"/>
              <w:bottom w:val="nil"/>
              <w:right w:val="nil"/>
            </w:tcBorders>
            <w:shd w:val="clear" w:color="auto" w:fill="auto"/>
            <w:noWrap/>
            <w:vAlign w:val="bottom"/>
            <w:hideMark/>
          </w:tcPr>
          <w:p w14:paraId="6BD875C7" w14:textId="2E634222" w:rsidR="00935CA9" w:rsidRPr="0021398F" w:rsidRDefault="00935CA9" w:rsidP="00935CA9">
            <w:pPr>
              <w:spacing w:after="0" w:line="240" w:lineRule="auto"/>
              <w:rPr>
                <w:color w:val="000000"/>
              </w:rPr>
            </w:pPr>
            <w:r>
              <w:rPr>
                <w:color w:val="000000"/>
              </w:rPr>
              <w:t>.78</w:t>
            </w:r>
          </w:p>
        </w:tc>
        <w:tc>
          <w:tcPr>
            <w:tcW w:w="1440" w:type="dxa"/>
            <w:tcBorders>
              <w:top w:val="nil"/>
              <w:left w:val="nil"/>
              <w:bottom w:val="nil"/>
              <w:right w:val="nil"/>
            </w:tcBorders>
            <w:shd w:val="clear" w:color="auto" w:fill="auto"/>
            <w:noWrap/>
            <w:vAlign w:val="center"/>
            <w:hideMark/>
          </w:tcPr>
          <w:p w14:paraId="6A2B3406" w14:textId="77777777" w:rsidR="00935CA9" w:rsidRPr="0021398F" w:rsidRDefault="00935CA9" w:rsidP="00935CA9">
            <w:pPr>
              <w:spacing w:after="0" w:line="240" w:lineRule="auto"/>
              <w:rPr>
                <w:color w:val="000000"/>
              </w:rPr>
            </w:pPr>
            <w:r w:rsidRPr="0021398F">
              <w:rPr>
                <w:color w:val="000000"/>
              </w:rPr>
              <w:t>.73</w:t>
            </w:r>
          </w:p>
        </w:tc>
        <w:tc>
          <w:tcPr>
            <w:tcW w:w="1379" w:type="dxa"/>
            <w:tcBorders>
              <w:top w:val="nil"/>
              <w:left w:val="nil"/>
              <w:bottom w:val="nil"/>
              <w:right w:val="nil"/>
            </w:tcBorders>
            <w:shd w:val="clear" w:color="auto" w:fill="auto"/>
            <w:noWrap/>
            <w:vAlign w:val="bottom"/>
            <w:hideMark/>
          </w:tcPr>
          <w:p w14:paraId="1677B734" w14:textId="77777777" w:rsidR="00935CA9" w:rsidRPr="0021398F" w:rsidRDefault="00935CA9" w:rsidP="00935CA9">
            <w:pPr>
              <w:spacing w:after="0" w:line="240" w:lineRule="auto"/>
              <w:rPr>
                <w:color w:val="000000"/>
              </w:rPr>
            </w:pPr>
            <w:r w:rsidRPr="0021398F">
              <w:rPr>
                <w:color w:val="000000"/>
              </w:rPr>
              <w:t>.53</w:t>
            </w:r>
          </w:p>
        </w:tc>
      </w:tr>
      <w:tr w:rsidR="00935CA9" w:rsidRPr="0021398F" w14:paraId="6AD18305" w14:textId="77777777" w:rsidTr="00F866EA">
        <w:trPr>
          <w:trHeight w:val="299"/>
        </w:trPr>
        <w:tc>
          <w:tcPr>
            <w:tcW w:w="1923" w:type="dxa"/>
            <w:tcBorders>
              <w:top w:val="nil"/>
              <w:left w:val="nil"/>
              <w:bottom w:val="nil"/>
              <w:right w:val="nil"/>
            </w:tcBorders>
            <w:shd w:val="clear" w:color="auto" w:fill="auto"/>
            <w:noWrap/>
            <w:vAlign w:val="bottom"/>
            <w:hideMark/>
          </w:tcPr>
          <w:p w14:paraId="0D00E9D0" w14:textId="77777777" w:rsidR="00935CA9" w:rsidRPr="0021398F" w:rsidRDefault="00935CA9" w:rsidP="00935CA9">
            <w:pPr>
              <w:spacing w:after="0" w:line="240" w:lineRule="auto"/>
              <w:jc w:val="left"/>
              <w:rPr>
                <w:color w:val="000000"/>
              </w:rPr>
            </w:pPr>
            <w:r w:rsidRPr="0021398F">
              <w:rPr>
                <w:color w:val="000000"/>
              </w:rPr>
              <w:t>Germany</w:t>
            </w:r>
          </w:p>
        </w:tc>
        <w:tc>
          <w:tcPr>
            <w:tcW w:w="1317" w:type="dxa"/>
            <w:tcBorders>
              <w:top w:val="nil"/>
              <w:left w:val="nil"/>
              <w:bottom w:val="nil"/>
              <w:right w:val="nil"/>
            </w:tcBorders>
            <w:shd w:val="clear" w:color="auto" w:fill="auto"/>
            <w:noWrap/>
            <w:vAlign w:val="bottom"/>
            <w:hideMark/>
          </w:tcPr>
          <w:p w14:paraId="77168B9A" w14:textId="46BFFDF3" w:rsidR="00935CA9" w:rsidRPr="0021398F" w:rsidRDefault="00935CA9" w:rsidP="00935CA9">
            <w:pPr>
              <w:spacing w:after="0" w:line="240" w:lineRule="auto"/>
              <w:rPr>
                <w:color w:val="000000"/>
              </w:rPr>
            </w:pPr>
            <w:r>
              <w:rPr>
                <w:color w:val="000000"/>
              </w:rPr>
              <w:t>.91</w:t>
            </w:r>
          </w:p>
        </w:tc>
        <w:tc>
          <w:tcPr>
            <w:tcW w:w="1350" w:type="dxa"/>
            <w:tcBorders>
              <w:top w:val="nil"/>
              <w:left w:val="nil"/>
              <w:bottom w:val="nil"/>
              <w:right w:val="nil"/>
            </w:tcBorders>
            <w:shd w:val="clear" w:color="auto" w:fill="auto"/>
            <w:noWrap/>
            <w:vAlign w:val="bottom"/>
            <w:hideMark/>
          </w:tcPr>
          <w:p w14:paraId="36F6983E" w14:textId="0C088728" w:rsidR="00935CA9" w:rsidRPr="0021398F" w:rsidRDefault="00935CA9" w:rsidP="00935CA9">
            <w:pPr>
              <w:spacing w:after="0" w:line="240" w:lineRule="auto"/>
              <w:rPr>
                <w:color w:val="000000"/>
              </w:rPr>
            </w:pPr>
            <w:r>
              <w:rPr>
                <w:color w:val="000000"/>
              </w:rPr>
              <w:t>.87</w:t>
            </w:r>
          </w:p>
        </w:tc>
        <w:tc>
          <w:tcPr>
            <w:tcW w:w="1440" w:type="dxa"/>
            <w:tcBorders>
              <w:top w:val="nil"/>
              <w:left w:val="nil"/>
              <w:bottom w:val="nil"/>
              <w:right w:val="nil"/>
            </w:tcBorders>
            <w:shd w:val="clear" w:color="auto" w:fill="auto"/>
            <w:noWrap/>
            <w:vAlign w:val="center"/>
            <w:hideMark/>
          </w:tcPr>
          <w:p w14:paraId="2D3B61C2" w14:textId="77777777" w:rsidR="00935CA9" w:rsidRPr="0021398F" w:rsidRDefault="00935CA9" w:rsidP="00935CA9">
            <w:pPr>
              <w:spacing w:after="0" w:line="240" w:lineRule="auto"/>
              <w:rPr>
                <w:color w:val="000000"/>
              </w:rPr>
            </w:pPr>
            <w:r w:rsidRPr="0021398F">
              <w:rPr>
                <w:color w:val="000000"/>
              </w:rPr>
              <w:t>.86</w:t>
            </w:r>
          </w:p>
        </w:tc>
        <w:tc>
          <w:tcPr>
            <w:tcW w:w="1379" w:type="dxa"/>
            <w:tcBorders>
              <w:top w:val="nil"/>
              <w:left w:val="nil"/>
              <w:bottom w:val="nil"/>
              <w:right w:val="nil"/>
            </w:tcBorders>
            <w:shd w:val="clear" w:color="auto" w:fill="auto"/>
            <w:noWrap/>
            <w:vAlign w:val="bottom"/>
            <w:hideMark/>
          </w:tcPr>
          <w:p w14:paraId="5A222425" w14:textId="77777777" w:rsidR="00935CA9" w:rsidRPr="0021398F" w:rsidRDefault="00935CA9" w:rsidP="00935CA9">
            <w:pPr>
              <w:spacing w:after="0" w:line="240" w:lineRule="auto"/>
              <w:rPr>
                <w:color w:val="000000"/>
              </w:rPr>
            </w:pPr>
            <w:r w:rsidRPr="0021398F">
              <w:rPr>
                <w:color w:val="000000"/>
              </w:rPr>
              <w:t>.72</w:t>
            </w:r>
          </w:p>
        </w:tc>
      </w:tr>
      <w:tr w:rsidR="00935CA9" w:rsidRPr="0021398F" w14:paraId="6E34F0CA" w14:textId="77777777" w:rsidTr="00F866EA">
        <w:trPr>
          <w:trHeight w:val="299"/>
        </w:trPr>
        <w:tc>
          <w:tcPr>
            <w:tcW w:w="1923" w:type="dxa"/>
            <w:tcBorders>
              <w:top w:val="nil"/>
              <w:left w:val="nil"/>
              <w:bottom w:val="nil"/>
              <w:right w:val="nil"/>
            </w:tcBorders>
            <w:shd w:val="clear" w:color="auto" w:fill="auto"/>
            <w:noWrap/>
            <w:vAlign w:val="bottom"/>
            <w:hideMark/>
          </w:tcPr>
          <w:p w14:paraId="029C4005" w14:textId="77777777" w:rsidR="00935CA9" w:rsidRPr="0021398F" w:rsidRDefault="00935CA9" w:rsidP="00935CA9">
            <w:pPr>
              <w:spacing w:after="0" w:line="240" w:lineRule="auto"/>
              <w:jc w:val="left"/>
              <w:rPr>
                <w:color w:val="000000"/>
              </w:rPr>
            </w:pPr>
            <w:r w:rsidRPr="0021398F">
              <w:rPr>
                <w:color w:val="000000"/>
              </w:rPr>
              <w:t>Greece</w:t>
            </w:r>
          </w:p>
        </w:tc>
        <w:tc>
          <w:tcPr>
            <w:tcW w:w="1317" w:type="dxa"/>
            <w:tcBorders>
              <w:top w:val="nil"/>
              <w:left w:val="nil"/>
              <w:bottom w:val="nil"/>
              <w:right w:val="nil"/>
            </w:tcBorders>
            <w:shd w:val="clear" w:color="auto" w:fill="auto"/>
            <w:noWrap/>
            <w:vAlign w:val="bottom"/>
            <w:hideMark/>
          </w:tcPr>
          <w:p w14:paraId="3F50B431" w14:textId="57C11EA6" w:rsidR="00935CA9" w:rsidRPr="0021398F" w:rsidRDefault="00935CA9" w:rsidP="00935CA9">
            <w:pPr>
              <w:spacing w:after="0" w:line="240" w:lineRule="auto"/>
              <w:rPr>
                <w:color w:val="000000"/>
              </w:rPr>
            </w:pPr>
            <w:r>
              <w:rPr>
                <w:color w:val="000000"/>
              </w:rPr>
              <w:t>.85</w:t>
            </w:r>
          </w:p>
        </w:tc>
        <w:tc>
          <w:tcPr>
            <w:tcW w:w="1350" w:type="dxa"/>
            <w:tcBorders>
              <w:top w:val="nil"/>
              <w:left w:val="nil"/>
              <w:bottom w:val="nil"/>
              <w:right w:val="nil"/>
            </w:tcBorders>
            <w:shd w:val="clear" w:color="auto" w:fill="auto"/>
            <w:noWrap/>
            <w:vAlign w:val="bottom"/>
            <w:hideMark/>
          </w:tcPr>
          <w:p w14:paraId="161D945F" w14:textId="30D70DEC" w:rsidR="00935CA9" w:rsidRPr="0021398F" w:rsidRDefault="00935CA9" w:rsidP="00935CA9">
            <w:pPr>
              <w:spacing w:after="0" w:line="240" w:lineRule="auto"/>
              <w:rPr>
                <w:color w:val="000000"/>
              </w:rPr>
            </w:pPr>
            <w:r>
              <w:rPr>
                <w:color w:val="000000"/>
              </w:rPr>
              <w:t>.82</w:t>
            </w:r>
          </w:p>
        </w:tc>
        <w:tc>
          <w:tcPr>
            <w:tcW w:w="1440" w:type="dxa"/>
            <w:tcBorders>
              <w:top w:val="nil"/>
              <w:left w:val="nil"/>
              <w:bottom w:val="nil"/>
              <w:right w:val="nil"/>
            </w:tcBorders>
            <w:shd w:val="clear" w:color="auto" w:fill="auto"/>
            <w:noWrap/>
            <w:vAlign w:val="center"/>
            <w:hideMark/>
          </w:tcPr>
          <w:p w14:paraId="07D1BF75" w14:textId="77777777" w:rsidR="00935CA9" w:rsidRPr="0021398F" w:rsidRDefault="00935CA9" w:rsidP="00935CA9">
            <w:pPr>
              <w:spacing w:after="0" w:line="240" w:lineRule="auto"/>
              <w:rPr>
                <w:color w:val="000000"/>
              </w:rPr>
            </w:pPr>
            <w:r w:rsidRPr="0021398F">
              <w:rPr>
                <w:color w:val="000000"/>
              </w:rPr>
              <w:t>.81</w:t>
            </w:r>
          </w:p>
        </w:tc>
        <w:tc>
          <w:tcPr>
            <w:tcW w:w="1379" w:type="dxa"/>
            <w:tcBorders>
              <w:top w:val="nil"/>
              <w:left w:val="nil"/>
              <w:bottom w:val="nil"/>
              <w:right w:val="nil"/>
            </w:tcBorders>
            <w:shd w:val="clear" w:color="auto" w:fill="auto"/>
            <w:noWrap/>
            <w:vAlign w:val="bottom"/>
            <w:hideMark/>
          </w:tcPr>
          <w:p w14:paraId="14AA8ECC" w14:textId="77777777" w:rsidR="00935CA9" w:rsidRPr="0021398F" w:rsidRDefault="00935CA9" w:rsidP="00935CA9">
            <w:pPr>
              <w:spacing w:after="0" w:line="240" w:lineRule="auto"/>
              <w:rPr>
                <w:color w:val="000000"/>
              </w:rPr>
            </w:pPr>
            <w:r w:rsidRPr="0021398F">
              <w:rPr>
                <w:color w:val="000000"/>
              </w:rPr>
              <w:t>.60</w:t>
            </w:r>
          </w:p>
        </w:tc>
      </w:tr>
      <w:tr w:rsidR="00935CA9" w:rsidRPr="0021398F" w14:paraId="168B8766" w14:textId="77777777" w:rsidTr="00F866EA">
        <w:trPr>
          <w:trHeight w:val="299"/>
        </w:trPr>
        <w:tc>
          <w:tcPr>
            <w:tcW w:w="1923" w:type="dxa"/>
            <w:tcBorders>
              <w:top w:val="nil"/>
              <w:left w:val="nil"/>
              <w:bottom w:val="nil"/>
              <w:right w:val="nil"/>
            </w:tcBorders>
            <w:shd w:val="clear" w:color="auto" w:fill="auto"/>
            <w:noWrap/>
            <w:vAlign w:val="bottom"/>
            <w:hideMark/>
          </w:tcPr>
          <w:p w14:paraId="00065692" w14:textId="77777777" w:rsidR="00935CA9" w:rsidRPr="0021398F" w:rsidRDefault="00935CA9" w:rsidP="00935CA9">
            <w:pPr>
              <w:spacing w:after="0" w:line="240" w:lineRule="auto"/>
              <w:jc w:val="left"/>
              <w:rPr>
                <w:color w:val="000000"/>
              </w:rPr>
            </w:pPr>
            <w:r w:rsidRPr="0021398F">
              <w:rPr>
                <w:color w:val="000000"/>
              </w:rPr>
              <w:t>Hong Kong</w:t>
            </w:r>
          </w:p>
        </w:tc>
        <w:tc>
          <w:tcPr>
            <w:tcW w:w="1317" w:type="dxa"/>
            <w:tcBorders>
              <w:top w:val="nil"/>
              <w:left w:val="nil"/>
              <w:bottom w:val="nil"/>
              <w:right w:val="nil"/>
            </w:tcBorders>
            <w:shd w:val="clear" w:color="auto" w:fill="auto"/>
            <w:noWrap/>
            <w:vAlign w:val="bottom"/>
            <w:hideMark/>
          </w:tcPr>
          <w:p w14:paraId="0E33C2C9" w14:textId="70067C22" w:rsidR="00935CA9" w:rsidRPr="0021398F" w:rsidRDefault="00935CA9" w:rsidP="00935CA9">
            <w:pPr>
              <w:spacing w:after="0" w:line="240" w:lineRule="auto"/>
              <w:rPr>
                <w:color w:val="000000"/>
              </w:rPr>
            </w:pPr>
            <w:r>
              <w:rPr>
                <w:color w:val="000000"/>
              </w:rPr>
              <w:t>.82</w:t>
            </w:r>
          </w:p>
        </w:tc>
        <w:tc>
          <w:tcPr>
            <w:tcW w:w="1350" w:type="dxa"/>
            <w:tcBorders>
              <w:top w:val="nil"/>
              <w:left w:val="nil"/>
              <w:bottom w:val="nil"/>
              <w:right w:val="nil"/>
            </w:tcBorders>
            <w:shd w:val="clear" w:color="auto" w:fill="auto"/>
            <w:noWrap/>
            <w:vAlign w:val="bottom"/>
            <w:hideMark/>
          </w:tcPr>
          <w:p w14:paraId="72C43EC8" w14:textId="73433495" w:rsidR="00935CA9" w:rsidRPr="0021398F" w:rsidRDefault="00935CA9" w:rsidP="00935CA9">
            <w:pPr>
              <w:spacing w:after="0" w:line="240" w:lineRule="auto"/>
              <w:rPr>
                <w:color w:val="000000"/>
              </w:rPr>
            </w:pPr>
            <w:r>
              <w:rPr>
                <w:color w:val="000000"/>
              </w:rPr>
              <w:t>.80</w:t>
            </w:r>
          </w:p>
        </w:tc>
        <w:tc>
          <w:tcPr>
            <w:tcW w:w="1440" w:type="dxa"/>
            <w:tcBorders>
              <w:top w:val="nil"/>
              <w:left w:val="nil"/>
              <w:bottom w:val="nil"/>
              <w:right w:val="nil"/>
            </w:tcBorders>
            <w:shd w:val="clear" w:color="auto" w:fill="auto"/>
            <w:noWrap/>
            <w:vAlign w:val="center"/>
            <w:hideMark/>
          </w:tcPr>
          <w:p w14:paraId="6DA97B21" w14:textId="77777777" w:rsidR="00935CA9" w:rsidRPr="0021398F" w:rsidRDefault="00935CA9" w:rsidP="00935CA9">
            <w:pPr>
              <w:spacing w:after="0" w:line="240" w:lineRule="auto"/>
              <w:rPr>
                <w:color w:val="000000"/>
              </w:rPr>
            </w:pPr>
            <w:r w:rsidRPr="0021398F">
              <w:rPr>
                <w:color w:val="000000"/>
              </w:rPr>
              <w:t>.74</w:t>
            </w:r>
          </w:p>
        </w:tc>
        <w:tc>
          <w:tcPr>
            <w:tcW w:w="1379" w:type="dxa"/>
            <w:tcBorders>
              <w:top w:val="nil"/>
              <w:left w:val="nil"/>
              <w:bottom w:val="nil"/>
              <w:right w:val="nil"/>
            </w:tcBorders>
            <w:shd w:val="clear" w:color="auto" w:fill="auto"/>
            <w:noWrap/>
            <w:vAlign w:val="bottom"/>
            <w:hideMark/>
          </w:tcPr>
          <w:p w14:paraId="19E58E29" w14:textId="77777777" w:rsidR="00935CA9" w:rsidRPr="0021398F" w:rsidRDefault="00935CA9" w:rsidP="00935CA9">
            <w:pPr>
              <w:spacing w:after="0" w:line="240" w:lineRule="auto"/>
              <w:rPr>
                <w:color w:val="000000"/>
              </w:rPr>
            </w:pPr>
            <w:r w:rsidRPr="0021398F">
              <w:rPr>
                <w:color w:val="000000"/>
              </w:rPr>
              <w:t>.56</w:t>
            </w:r>
          </w:p>
        </w:tc>
      </w:tr>
      <w:tr w:rsidR="00935CA9" w:rsidRPr="0021398F" w14:paraId="07FCAF8D" w14:textId="77777777" w:rsidTr="00F866EA">
        <w:trPr>
          <w:trHeight w:val="299"/>
        </w:trPr>
        <w:tc>
          <w:tcPr>
            <w:tcW w:w="1923" w:type="dxa"/>
            <w:tcBorders>
              <w:top w:val="nil"/>
              <w:left w:val="nil"/>
              <w:bottom w:val="nil"/>
              <w:right w:val="nil"/>
            </w:tcBorders>
            <w:shd w:val="clear" w:color="auto" w:fill="auto"/>
            <w:noWrap/>
            <w:vAlign w:val="bottom"/>
            <w:hideMark/>
          </w:tcPr>
          <w:p w14:paraId="01D618FE" w14:textId="77777777" w:rsidR="00935CA9" w:rsidRPr="0021398F" w:rsidRDefault="00935CA9" w:rsidP="00935CA9">
            <w:pPr>
              <w:spacing w:after="0" w:line="240" w:lineRule="auto"/>
              <w:jc w:val="left"/>
              <w:rPr>
                <w:color w:val="000000"/>
              </w:rPr>
            </w:pPr>
            <w:r w:rsidRPr="0021398F">
              <w:rPr>
                <w:color w:val="000000"/>
              </w:rPr>
              <w:t>Hungary</w:t>
            </w:r>
          </w:p>
        </w:tc>
        <w:tc>
          <w:tcPr>
            <w:tcW w:w="1317" w:type="dxa"/>
            <w:tcBorders>
              <w:top w:val="nil"/>
              <w:left w:val="nil"/>
              <w:bottom w:val="nil"/>
              <w:right w:val="nil"/>
            </w:tcBorders>
            <w:shd w:val="clear" w:color="auto" w:fill="auto"/>
            <w:noWrap/>
            <w:vAlign w:val="bottom"/>
            <w:hideMark/>
          </w:tcPr>
          <w:p w14:paraId="0D897FF3" w14:textId="60952807" w:rsidR="00935CA9" w:rsidRPr="0021398F" w:rsidRDefault="00935CA9" w:rsidP="00935CA9">
            <w:pPr>
              <w:spacing w:after="0" w:line="240" w:lineRule="auto"/>
              <w:rPr>
                <w:color w:val="000000"/>
              </w:rPr>
            </w:pPr>
            <w:r>
              <w:rPr>
                <w:color w:val="000000"/>
              </w:rPr>
              <w:t>.86</w:t>
            </w:r>
          </w:p>
        </w:tc>
        <w:tc>
          <w:tcPr>
            <w:tcW w:w="1350" w:type="dxa"/>
            <w:tcBorders>
              <w:top w:val="nil"/>
              <w:left w:val="nil"/>
              <w:bottom w:val="nil"/>
              <w:right w:val="nil"/>
            </w:tcBorders>
            <w:shd w:val="clear" w:color="auto" w:fill="auto"/>
            <w:noWrap/>
            <w:vAlign w:val="bottom"/>
            <w:hideMark/>
          </w:tcPr>
          <w:p w14:paraId="6EFE3F2E" w14:textId="1BF6E46D" w:rsidR="00935CA9" w:rsidRPr="0021398F" w:rsidRDefault="00935CA9" w:rsidP="00935CA9">
            <w:pPr>
              <w:spacing w:after="0" w:line="240" w:lineRule="auto"/>
              <w:rPr>
                <w:color w:val="000000"/>
              </w:rPr>
            </w:pPr>
            <w:r>
              <w:rPr>
                <w:color w:val="000000"/>
              </w:rPr>
              <w:t>.82</w:t>
            </w:r>
          </w:p>
        </w:tc>
        <w:tc>
          <w:tcPr>
            <w:tcW w:w="1440" w:type="dxa"/>
            <w:tcBorders>
              <w:top w:val="nil"/>
              <w:left w:val="nil"/>
              <w:bottom w:val="nil"/>
              <w:right w:val="nil"/>
            </w:tcBorders>
            <w:shd w:val="clear" w:color="auto" w:fill="auto"/>
            <w:noWrap/>
            <w:vAlign w:val="center"/>
            <w:hideMark/>
          </w:tcPr>
          <w:p w14:paraId="2ACAB781" w14:textId="77777777" w:rsidR="00935CA9" w:rsidRPr="0021398F" w:rsidRDefault="00935CA9" w:rsidP="00935CA9">
            <w:pPr>
              <w:spacing w:after="0" w:line="240" w:lineRule="auto"/>
              <w:rPr>
                <w:color w:val="000000"/>
              </w:rPr>
            </w:pPr>
            <w:r w:rsidRPr="0021398F">
              <w:rPr>
                <w:color w:val="000000"/>
              </w:rPr>
              <w:t>.82</w:t>
            </w:r>
          </w:p>
        </w:tc>
        <w:tc>
          <w:tcPr>
            <w:tcW w:w="1379" w:type="dxa"/>
            <w:tcBorders>
              <w:top w:val="nil"/>
              <w:left w:val="nil"/>
              <w:bottom w:val="nil"/>
              <w:right w:val="nil"/>
            </w:tcBorders>
            <w:shd w:val="clear" w:color="auto" w:fill="auto"/>
            <w:noWrap/>
            <w:vAlign w:val="bottom"/>
            <w:hideMark/>
          </w:tcPr>
          <w:p w14:paraId="3DEEAA01" w14:textId="77777777" w:rsidR="00935CA9" w:rsidRPr="0021398F" w:rsidRDefault="00935CA9" w:rsidP="00935CA9">
            <w:pPr>
              <w:spacing w:after="0" w:line="240" w:lineRule="auto"/>
              <w:rPr>
                <w:color w:val="000000"/>
              </w:rPr>
            </w:pPr>
            <w:r w:rsidRPr="0021398F">
              <w:rPr>
                <w:color w:val="000000"/>
              </w:rPr>
              <w:t>.62</w:t>
            </w:r>
          </w:p>
        </w:tc>
      </w:tr>
      <w:tr w:rsidR="00935CA9" w:rsidRPr="0021398F" w14:paraId="6F2158DC" w14:textId="77777777" w:rsidTr="00F866EA">
        <w:trPr>
          <w:trHeight w:val="299"/>
        </w:trPr>
        <w:tc>
          <w:tcPr>
            <w:tcW w:w="1923" w:type="dxa"/>
            <w:tcBorders>
              <w:top w:val="nil"/>
              <w:left w:val="nil"/>
              <w:bottom w:val="nil"/>
              <w:right w:val="nil"/>
            </w:tcBorders>
            <w:shd w:val="clear" w:color="auto" w:fill="auto"/>
            <w:noWrap/>
            <w:vAlign w:val="bottom"/>
            <w:hideMark/>
          </w:tcPr>
          <w:p w14:paraId="03E756C5" w14:textId="77777777" w:rsidR="00935CA9" w:rsidRPr="0021398F" w:rsidRDefault="00935CA9" w:rsidP="00935CA9">
            <w:pPr>
              <w:spacing w:after="0" w:line="240" w:lineRule="auto"/>
              <w:jc w:val="left"/>
              <w:rPr>
                <w:color w:val="000000"/>
              </w:rPr>
            </w:pPr>
            <w:r w:rsidRPr="0021398F">
              <w:rPr>
                <w:color w:val="000000"/>
              </w:rPr>
              <w:t>India</w:t>
            </w:r>
          </w:p>
        </w:tc>
        <w:tc>
          <w:tcPr>
            <w:tcW w:w="1317" w:type="dxa"/>
            <w:tcBorders>
              <w:top w:val="nil"/>
              <w:left w:val="nil"/>
              <w:bottom w:val="nil"/>
              <w:right w:val="nil"/>
            </w:tcBorders>
            <w:shd w:val="clear" w:color="auto" w:fill="auto"/>
            <w:noWrap/>
            <w:vAlign w:val="bottom"/>
            <w:hideMark/>
          </w:tcPr>
          <w:p w14:paraId="5CF86CED" w14:textId="4C3B0867" w:rsidR="00935CA9" w:rsidRPr="0021398F" w:rsidRDefault="00935CA9" w:rsidP="00935CA9">
            <w:pPr>
              <w:spacing w:after="0" w:line="240" w:lineRule="auto"/>
              <w:rPr>
                <w:color w:val="000000"/>
              </w:rPr>
            </w:pPr>
            <w:r>
              <w:rPr>
                <w:color w:val="000000"/>
              </w:rPr>
              <w:t>.65</w:t>
            </w:r>
          </w:p>
        </w:tc>
        <w:tc>
          <w:tcPr>
            <w:tcW w:w="1350" w:type="dxa"/>
            <w:tcBorders>
              <w:top w:val="nil"/>
              <w:left w:val="nil"/>
              <w:bottom w:val="nil"/>
              <w:right w:val="nil"/>
            </w:tcBorders>
            <w:shd w:val="clear" w:color="auto" w:fill="auto"/>
            <w:noWrap/>
            <w:vAlign w:val="bottom"/>
            <w:hideMark/>
          </w:tcPr>
          <w:p w14:paraId="4177A421" w14:textId="1FBF3E4B" w:rsidR="00935CA9" w:rsidRPr="0021398F" w:rsidRDefault="00935CA9" w:rsidP="00935CA9">
            <w:pPr>
              <w:spacing w:after="0" w:line="240" w:lineRule="auto"/>
              <w:rPr>
                <w:color w:val="000000"/>
              </w:rPr>
            </w:pPr>
            <w:r>
              <w:rPr>
                <w:color w:val="000000"/>
              </w:rPr>
              <w:t>.62</w:t>
            </w:r>
          </w:p>
        </w:tc>
        <w:tc>
          <w:tcPr>
            <w:tcW w:w="1440" w:type="dxa"/>
            <w:tcBorders>
              <w:top w:val="nil"/>
              <w:left w:val="nil"/>
              <w:bottom w:val="nil"/>
              <w:right w:val="nil"/>
            </w:tcBorders>
            <w:shd w:val="clear" w:color="auto" w:fill="auto"/>
            <w:noWrap/>
            <w:vAlign w:val="center"/>
            <w:hideMark/>
          </w:tcPr>
          <w:p w14:paraId="25E04C46" w14:textId="77777777" w:rsidR="00935CA9" w:rsidRPr="0021398F" w:rsidRDefault="00935CA9" w:rsidP="00935CA9">
            <w:pPr>
              <w:spacing w:after="0" w:line="240" w:lineRule="auto"/>
              <w:rPr>
                <w:color w:val="000000"/>
              </w:rPr>
            </w:pPr>
            <w:r w:rsidRPr="0021398F">
              <w:rPr>
                <w:color w:val="000000"/>
              </w:rPr>
              <w:t>.60</w:t>
            </w:r>
          </w:p>
        </w:tc>
        <w:tc>
          <w:tcPr>
            <w:tcW w:w="1379" w:type="dxa"/>
            <w:tcBorders>
              <w:top w:val="nil"/>
              <w:left w:val="nil"/>
              <w:bottom w:val="nil"/>
              <w:right w:val="nil"/>
            </w:tcBorders>
            <w:shd w:val="clear" w:color="auto" w:fill="auto"/>
            <w:noWrap/>
            <w:vAlign w:val="bottom"/>
            <w:hideMark/>
          </w:tcPr>
          <w:p w14:paraId="28DADB71" w14:textId="77777777" w:rsidR="00935CA9" w:rsidRPr="0021398F" w:rsidRDefault="00935CA9" w:rsidP="00935CA9">
            <w:pPr>
              <w:spacing w:after="0" w:line="240" w:lineRule="auto"/>
              <w:rPr>
                <w:color w:val="000000"/>
              </w:rPr>
            </w:pPr>
            <w:r w:rsidRPr="0021398F">
              <w:rPr>
                <w:color w:val="000000"/>
              </w:rPr>
              <w:t>.35</w:t>
            </w:r>
          </w:p>
        </w:tc>
      </w:tr>
      <w:tr w:rsidR="00935CA9" w:rsidRPr="0021398F" w14:paraId="40ECC717" w14:textId="77777777" w:rsidTr="00F866EA">
        <w:trPr>
          <w:trHeight w:val="299"/>
        </w:trPr>
        <w:tc>
          <w:tcPr>
            <w:tcW w:w="1923" w:type="dxa"/>
            <w:tcBorders>
              <w:top w:val="nil"/>
              <w:left w:val="nil"/>
              <w:bottom w:val="nil"/>
              <w:right w:val="nil"/>
            </w:tcBorders>
            <w:shd w:val="clear" w:color="auto" w:fill="auto"/>
            <w:noWrap/>
            <w:vAlign w:val="bottom"/>
            <w:hideMark/>
          </w:tcPr>
          <w:p w14:paraId="6D5AF5D1" w14:textId="77777777" w:rsidR="00935CA9" w:rsidRPr="0021398F" w:rsidRDefault="00935CA9" w:rsidP="00935CA9">
            <w:pPr>
              <w:spacing w:after="0" w:line="240" w:lineRule="auto"/>
              <w:jc w:val="left"/>
              <w:rPr>
                <w:color w:val="000000"/>
              </w:rPr>
            </w:pPr>
            <w:r w:rsidRPr="0021398F">
              <w:rPr>
                <w:color w:val="000000"/>
              </w:rPr>
              <w:t>Indonesia</w:t>
            </w:r>
          </w:p>
        </w:tc>
        <w:tc>
          <w:tcPr>
            <w:tcW w:w="1317" w:type="dxa"/>
            <w:tcBorders>
              <w:top w:val="nil"/>
              <w:left w:val="nil"/>
              <w:bottom w:val="nil"/>
              <w:right w:val="nil"/>
            </w:tcBorders>
            <w:shd w:val="clear" w:color="auto" w:fill="auto"/>
            <w:noWrap/>
            <w:vAlign w:val="bottom"/>
            <w:hideMark/>
          </w:tcPr>
          <w:p w14:paraId="5595438B" w14:textId="0C5AFAD6" w:rsidR="00935CA9" w:rsidRPr="0021398F" w:rsidRDefault="00935CA9" w:rsidP="00935CA9">
            <w:pPr>
              <w:spacing w:after="0" w:line="240" w:lineRule="auto"/>
              <w:rPr>
                <w:color w:val="000000"/>
              </w:rPr>
            </w:pPr>
            <w:r>
              <w:rPr>
                <w:color w:val="000000"/>
              </w:rPr>
              <w:t>.74</w:t>
            </w:r>
          </w:p>
        </w:tc>
        <w:tc>
          <w:tcPr>
            <w:tcW w:w="1350" w:type="dxa"/>
            <w:tcBorders>
              <w:top w:val="nil"/>
              <w:left w:val="nil"/>
              <w:bottom w:val="nil"/>
              <w:right w:val="nil"/>
            </w:tcBorders>
            <w:shd w:val="clear" w:color="auto" w:fill="auto"/>
            <w:noWrap/>
            <w:vAlign w:val="bottom"/>
            <w:hideMark/>
          </w:tcPr>
          <w:p w14:paraId="5A4D05A2" w14:textId="649B7882" w:rsidR="00935CA9" w:rsidRPr="0021398F" w:rsidRDefault="00935CA9" w:rsidP="00935CA9">
            <w:pPr>
              <w:spacing w:after="0" w:line="240" w:lineRule="auto"/>
              <w:rPr>
                <w:color w:val="000000"/>
              </w:rPr>
            </w:pPr>
            <w:r>
              <w:rPr>
                <w:color w:val="000000"/>
              </w:rPr>
              <w:t>.30</w:t>
            </w:r>
          </w:p>
        </w:tc>
        <w:tc>
          <w:tcPr>
            <w:tcW w:w="1440" w:type="dxa"/>
            <w:tcBorders>
              <w:top w:val="nil"/>
              <w:left w:val="nil"/>
              <w:bottom w:val="nil"/>
              <w:right w:val="nil"/>
            </w:tcBorders>
            <w:shd w:val="clear" w:color="auto" w:fill="auto"/>
            <w:noWrap/>
            <w:vAlign w:val="center"/>
            <w:hideMark/>
          </w:tcPr>
          <w:p w14:paraId="57DE0565" w14:textId="77777777" w:rsidR="00935CA9" w:rsidRPr="0021398F" w:rsidRDefault="00935CA9" w:rsidP="00935CA9">
            <w:pPr>
              <w:spacing w:after="0" w:line="240" w:lineRule="auto"/>
              <w:rPr>
                <w:color w:val="000000"/>
              </w:rPr>
            </w:pPr>
            <w:r w:rsidRPr="0021398F">
              <w:rPr>
                <w:color w:val="000000"/>
              </w:rPr>
              <w:t>.34</w:t>
            </w:r>
          </w:p>
        </w:tc>
        <w:tc>
          <w:tcPr>
            <w:tcW w:w="1379" w:type="dxa"/>
            <w:tcBorders>
              <w:top w:val="nil"/>
              <w:left w:val="nil"/>
              <w:bottom w:val="nil"/>
              <w:right w:val="nil"/>
            </w:tcBorders>
            <w:shd w:val="clear" w:color="auto" w:fill="auto"/>
            <w:noWrap/>
            <w:vAlign w:val="bottom"/>
            <w:hideMark/>
          </w:tcPr>
          <w:p w14:paraId="7B81E2F5" w14:textId="77777777" w:rsidR="00935CA9" w:rsidRPr="0021398F" w:rsidRDefault="00935CA9" w:rsidP="00935CA9">
            <w:pPr>
              <w:spacing w:after="0" w:line="240" w:lineRule="auto"/>
              <w:rPr>
                <w:color w:val="000000"/>
              </w:rPr>
            </w:pPr>
            <w:r w:rsidRPr="0021398F">
              <w:rPr>
                <w:color w:val="000000"/>
              </w:rPr>
              <w:t>.54</w:t>
            </w:r>
          </w:p>
        </w:tc>
      </w:tr>
      <w:tr w:rsidR="00935CA9" w:rsidRPr="0021398F" w14:paraId="71863191" w14:textId="77777777" w:rsidTr="00F866EA">
        <w:trPr>
          <w:trHeight w:val="299"/>
        </w:trPr>
        <w:tc>
          <w:tcPr>
            <w:tcW w:w="1923" w:type="dxa"/>
            <w:tcBorders>
              <w:top w:val="nil"/>
              <w:left w:val="nil"/>
              <w:bottom w:val="nil"/>
              <w:right w:val="nil"/>
            </w:tcBorders>
            <w:shd w:val="clear" w:color="auto" w:fill="auto"/>
            <w:noWrap/>
            <w:vAlign w:val="bottom"/>
            <w:hideMark/>
          </w:tcPr>
          <w:p w14:paraId="569EA162" w14:textId="77777777" w:rsidR="00935CA9" w:rsidRPr="0021398F" w:rsidRDefault="00935CA9" w:rsidP="00935CA9">
            <w:pPr>
              <w:spacing w:after="0" w:line="240" w:lineRule="auto"/>
              <w:jc w:val="left"/>
              <w:rPr>
                <w:color w:val="000000"/>
              </w:rPr>
            </w:pPr>
            <w:r w:rsidRPr="0021398F">
              <w:rPr>
                <w:color w:val="000000"/>
              </w:rPr>
              <w:t>Israel</w:t>
            </w:r>
          </w:p>
        </w:tc>
        <w:tc>
          <w:tcPr>
            <w:tcW w:w="1317" w:type="dxa"/>
            <w:tcBorders>
              <w:top w:val="nil"/>
              <w:left w:val="nil"/>
              <w:bottom w:val="nil"/>
              <w:right w:val="nil"/>
            </w:tcBorders>
            <w:shd w:val="clear" w:color="auto" w:fill="auto"/>
            <w:noWrap/>
            <w:vAlign w:val="bottom"/>
            <w:hideMark/>
          </w:tcPr>
          <w:p w14:paraId="1EA21940" w14:textId="04072BFA" w:rsidR="00935CA9" w:rsidRPr="0021398F" w:rsidRDefault="00935CA9" w:rsidP="00935CA9">
            <w:pPr>
              <w:spacing w:after="0" w:line="240" w:lineRule="auto"/>
              <w:rPr>
                <w:color w:val="000000"/>
              </w:rPr>
            </w:pPr>
            <w:r>
              <w:rPr>
                <w:color w:val="000000"/>
              </w:rPr>
              <w:t>.76</w:t>
            </w:r>
          </w:p>
        </w:tc>
        <w:tc>
          <w:tcPr>
            <w:tcW w:w="1350" w:type="dxa"/>
            <w:tcBorders>
              <w:top w:val="nil"/>
              <w:left w:val="nil"/>
              <w:bottom w:val="nil"/>
              <w:right w:val="nil"/>
            </w:tcBorders>
            <w:shd w:val="clear" w:color="auto" w:fill="auto"/>
            <w:noWrap/>
            <w:vAlign w:val="bottom"/>
            <w:hideMark/>
          </w:tcPr>
          <w:p w14:paraId="4BAF6E43" w14:textId="14C1410D" w:rsidR="00935CA9" w:rsidRPr="0021398F" w:rsidRDefault="00935CA9" w:rsidP="00935CA9">
            <w:pPr>
              <w:spacing w:after="0" w:line="240" w:lineRule="auto"/>
              <w:rPr>
                <w:color w:val="000000"/>
              </w:rPr>
            </w:pPr>
            <w:r>
              <w:rPr>
                <w:color w:val="000000"/>
              </w:rPr>
              <w:t>.07</w:t>
            </w:r>
          </w:p>
        </w:tc>
        <w:tc>
          <w:tcPr>
            <w:tcW w:w="1440" w:type="dxa"/>
            <w:tcBorders>
              <w:top w:val="nil"/>
              <w:left w:val="nil"/>
              <w:bottom w:val="nil"/>
              <w:right w:val="nil"/>
            </w:tcBorders>
            <w:shd w:val="clear" w:color="auto" w:fill="auto"/>
            <w:noWrap/>
            <w:vAlign w:val="center"/>
            <w:hideMark/>
          </w:tcPr>
          <w:p w14:paraId="2425DB28" w14:textId="77777777" w:rsidR="00935CA9" w:rsidRPr="0021398F" w:rsidRDefault="00935CA9" w:rsidP="00935CA9">
            <w:pPr>
              <w:spacing w:after="0" w:line="240" w:lineRule="auto"/>
              <w:rPr>
                <w:color w:val="000000"/>
              </w:rPr>
            </w:pPr>
            <w:r w:rsidRPr="0021398F">
              <w:rPr>
                <w:color w:val="000000"/>
              </w:rPr>
              <w:t>.70</w:t>
            </w:r>
          </w:p>
        </w:tc>
        <w:tc>
          <w:tcPr>
            <w:tcW w:w="1379" w:type="dxa"/>
            <w:tcBorders>
              <w:top w:val="nil"/>
              <w:left w:val="nil"/>
              <w:bottom w:val="nil"/>
              <w:right w:val="nil"/>
            </w:tcBorders>
            <w:shd w:val="clear" w:color="auto" w:fill="auto"/>
            <w:noWrap/>
            <w:vAlign w:val="bottom"/>
            <w:hideMark/>
          </w:tcPr>
          <w:p w14:paraId="5B5546B3" w14:textId="77777777" w:rsidR="00935CA9" w:rsidRPr="0021398F" w:rsidRDefault="00935CA9" w:rsidP="00935CA9">
            <w:pPr>
              <w:spacing w:after="0" w:line="240" w:lineRule="auto"/>
              <w:rPr>
                <w:color w:val="000000"/>
              </w:rPr>
            </w:pPr>
            <w:r w:rsidRPr="0021398F">
              <w:rPr>
                <w:color w:val="000000"/>
              </w:rPr>
              <w:t>.50</w:t>
            </w:r>
          </w:p>
        </w:tc>
      </w:tr>
      <w:tr w:rsidR="00935CA9" w:rsidRPr="0021398F" w14:paraId="49464E18" w14:textId="77777777" w:rsidTr="00F866EA">
        <w:trPr>
          <w:trHeight w:val="299"/>
        </w:trPr>
        <w:tc>
          <w:tcPr>
            <w:tcW w:w="1923" w:type="dxa"/>
            <w:tcBorders>
              <w:top w:val="nil"/>
              <w:left w:val="nil"/>
              <w:bottom w:val="nil"/>
              <w:right w:val="nil"/>
            </w:tcBorders>
            <w:shd w:val="clear" w:color="auto" w:fill="auto"/>
            <w:noWrap/>
            <w:vAlign w:val="bottom"/>
            <w:hideMark/>
          </w:tcPr>
          <w:p w14:paraId="44288122" w14:textId="77777777" w:rsidR="00935CA9" w:rsidRPr="0021398F" w:rsidRDefault="00935CA9" w:rsidP="00935CA9">
            <w:pPr>
              <w:spacing w:after="0" w:line="240" w:lineRule="auto"/>
              <w:jc w:val="left"/>
              <w:rPr>
                <w:color w:val="000000"/>
              </w:rPr>
            </w:pPr>
            <w:r w:rsidRPr="0021398F">
              <w:rPr>
                <w:color w:val="000000"/>
              </w:rPr>
              <w:t>Italy</w:t>
            </w:r>
          </w:p>
        </w:tc>
        <w:tc>
          <w:tcPr>
            <w:tcW w:w="1317" w:type="dxa"/>
            <w:tcBorders>
              <w:top w:val="nil"/>
              <w:left w:val="nil"/>
              <w:bottom w:val="nil"/>
              <w:right w:val="nil"/>
            </w:tcBorders>
            <w:shd w:val="clear" w:color="auto" w:fill="auto"/>
            <w:noWrap/>
            <w:vAlign w:val="bottom"/>
            <w:hideMark/>
          </w:tcPr>
          <w:p w14:paraId="60EEE01F" w14:textId="76C52799" w:rsidR="00935CA9" w:rsidRPr="0021398F" w:rsidRDefault="00935CA9" w:rsidP="00935CA9">
            <w:pPr>
              <w:spacing w:after="0" w:line="240" w:lineRule="auto"/>
              <w:rPr>
                <w:color w:val="000000"/>
              </w:rPr>
            </w:pPr>
            <w:r>
              <w:rPr>
                <w:color w:val="000000"/>
              </w:rPr>
              <w:t>.86</w:t>
            </w:r>
          </w:p>
        </w:tc>
        <w:tc>
          <w:tcPr>
            <w:tcW w:w="1350" w:type="dxa"/>
            <w:tcBorders>
              <w:top w:val="nil"/>
              <w:left w:val="nil"/>
              <w:bottom w:val="nil"/>
              <w:right w:val="nil"/>
            </w:tcBorders>
            <w:shd w:val="clear" w:color="auto" w:fill="auto"/>
            <w:noWrap/>
            <w:vAlign w:val="bottom"/>
            <w:hideMark/>
          </w:tcPr>
          <w:p w14:paraId="4718FF3F" w14:textId="157E7949" w:rsidR="00935CA9" w:rsidRPr="0021398F" w:rsidRDefault="00935CA9" w:rsidP="00935CA9">
            <w:pPr>
              <w:spacing w:after="0" w:line="240" w:lineRule="auto"/>
              <w:rPr>
                <w:color w:val="000000"/>
              </w:rPr>
            </w:pPr>
            <w:r>
              <w:rPr>
                <w:color w:val="000000"/>
              </w:rPr>
              <w:t>.83</w:t>
            </w:r>
          </w:p>
        </w:tc>
        <w:tc>
          <w:tcPr>
            <w:tcW w:w="1440" w:type="dxa"/>
            <w:tcBorders>
              <w:top w:val="nil"/>
              <w:left w:val="nil"/>
              <w:bottom w:val="nil"/>
              <w:right w:val="nil"/>
            </w:tcBorders>
            <w:shd w:val="clear" w:color="auto" w:fill="auto"/>
            <w:noWrap/>
            <w:vAlign w:val="center"/>
            <w:hideMark/>
          </w:tcPr>
          <w:p w14:paraId="2504E2A3" w14:textId="77777777" w:rsidR="00935CA9" w:rsidRPr="0021398F" w:rsidRDefault="00935CA9" w:rsidP="00935CA9">
            <w:pPr>
              <w:spacing w:after="0" w:line="240" w:lineRule="auto"/>
              <w:rPr>
                <w:color w:val="000000"/>
              </w:rPr>
            </w:pPr>
            <w:r w:rsidRPr="0021398F">
              <w:rPr>
                <w:color w:val="000000"/>
              </w:rPr>
              <w:t>.82</w:t>
            </w:r>
          </w:p>
        </w:tc>
        <w:tc>
          <w:tcPr>
            <w:tcW w:w="1379" w:type="dxa"/>
            <w:tcBorders>
              <w:top w:val="nil"/>
              <w:left w:val="nil"/>
              <w:bottom w:val="nil"/>
              <w:right w:val="nil"/>
            </w:tcBorders>
            <w:shd w:val="clear" w:color="auto" w:fill="auto"/>
            <w:noWrap/>
            <w:vAlign w:val="bottom"/>
            <w:hideMark/>
          </w:tcPr>
          <w:p w14:paraId="47775D62" w14:textId="77777777" w:rsidR="00935CA9" w:rsidRPr="0021398F" w:rsidRDefault="00935CA9" w:rsidP="00935CA9">
            <w:pPr>
              <w:spacing w:after="0" w:line="240" w:lineRule="auto"/>
              <w:rPr>
                <w:color w:val="000000"/>
              </w:rPr>
            </w:pPr>
            <w:r w:rsidRPr="0021398F">
              <w:rPr>
                <w:color w:val="000000"/>
              </w:rPr>
              <w:t>.62</w:t>
            </w:r>
          </w:p>
        </w:tc>
      </w:tr>
      <w:tr w:rsidR="00935CA9" w:rsidRPr="0021398F" w14:paraId="74AE5C52" w14:textId="77777777" w:rsidTr="00F866EA">
        <w:trPr>
          <w:trHeight w:val="299"/>
        </w:trPr>
        <w:tc>
          <w:tcPr>
            <w:tcW w:w="1923" w:type="dxa"/>
            <w:tcBorders>
              <w:top w:val="nil"/>
              <w:left w:val="nil"/>
              <w:bottom w:val="nil"/>
              <w:right w:val="nil"/>
            </w:tcBorders>
            <w:shd w:val="clear" w:color="auto" w:fill="auto"/>
            <w:noWrap/>
            <w:vAlign w:val="bottom"/>
            <w:hideMark/>
          </w:tcPr>
          <w:p w14:paraId="292ED23A" w14:textId="77777777" w:rsidR="00935CA9" w:rsidRPr="0021398F" w:rsidRDefault="00935CA9" w:rsidP="00935CA9">
            <w:pPr>
              <w:spacing w:after="0" w:line="240" w:lineRule="auto"/>
              <w:jc w:val="left"/>
              <w:rPr>
                <w:color w:val="000000"/>
              </w:rPr>
            </w:pPr>
            <w:r w:rsidRPr="0021398F">
              <w:rPr>
                <w:color w:val="000000"/>
              </w:rPr>
              <w:t>Japan</w:t>
            </w:r>
          </w:p>
        </w:tc>
        <w:tc>
          <w:tcPr>
            <w:tcW w:w="1317" w:type="dxa"/>
            <w:tcBorders>
              <w:top w:val="nil"/>
              <w:left w:val="nil"/>
              <w:bottom w:val="nil"/>
              <w:right w:val="nil"/>
            </w:tcBorders>
            <w:shd w:val="clear" w:color="auto" w:fill="auto"/>
            <w:noWrap/>
            <w:vAlign w:val="bottom"/>
            <w:hideMark/>
          </w:tcPr>
          <w:p w14:paraId="0443B6F1" w14:textId="344A455A" w:rsidR="00935CA9" w:rsidRPr="0021398F" w:rsidRDefault="00935CA9" w:rsidP="00935CA9">
            <w:pPr>
              <w:spacing w:after="0" w:line="240" w:lineRule="auto"/>
              <w:rPr>
                <w:color w:val="000000"/>
              </w:rPr>
            </w:pPr>
            <w:r>
              <w:rPr>
                <w:color w:val="000000"/>
              </w:rPr>
              <w:t>.84</w:t>
            </w:r>
          </w:p>
        </w:tc>
        <w:tc>
          <w:tcPr>
            <w:tcW w:w="1350" w:type="dxa"/>
            <w:tcBorders>
              <w:top w:val="nil"/>
              <w:left w:val="nil"/>
              <w:bottom w:val="nil"/>
              <w:right w:val="nil"/>
            </w:tcBorders>
            <w:shd w:val="clear" w:color="auto" w:fill="auto"/>
            <w:noWrap/>
            <w:vAlign w:val="bottom"/>
            <w:hideMark/>
          </w:tcPr>
          <w:p w14:paraId="34CDF40C" w14:textId="7E2CA2D2" w:rsidR="00935CA9" w:rsidRPr="0021398F" w:rsidRDefault="00935CA9" w:rsidP="00935CA9">
            <w:pPr>
              <w:spacing w:after="0" w:line="240" w:lineRule="auto"/>
              <w:rPr>
                <w:color w:val="000000"/>
              </w:rPr>
            </w:pPr>
            <w:r>
              <w:rPr>
                <w:color w:val="000000"/>
              </w:rPr>
              <w:t>.79</w:t>
            </w:r>
          </w:p>
        </w:tc>
        <w:tc>
          <w:tcPr>
            <w:tcW w:w="1440" w:type="dxa"/>
            <w:tcBorders>
              <w:top w:val="nil"/>
              <w:left w:val="nil"/>
              <w:bottom w:val="nil"/>
              <w:right w:val="nil"/>
            </w:tcBorders>
            <w:shd w:val="clear" w:color="auto" w:fill="auto"/>
            <w:noWrap/>
            <w:vAlign w:val="center"/>
            <w:hideMark/>
          </w:tcPr>
          <w:p w14:paraId="5C18488C" w14:textId="77777777" w:rsidR="00935CA9" w:rsidRPr="0021398F" w:rsidRDefault="00935CA9" w:rsidP="00935CA9">
            <w:pPr>
              <w:spacing w:after="0" w:line="240" w:lineRule="auto"/>
              <w:rPr>
                <w:color w:val="000000"/>
              </w:rPr>
            </w:pPr>
            <w:r w:rsidRPr="0021398F">
              <w:rPr>
                <w:color w:val="000000"/>
              </w:rPr>
              <w:t>.75</w:t>
            </w:r>
          </w:p>
        </w:tc>
        <w:tc>
          <w:tcPr>
            <w:tcW w:w="1379" w:type="dxa"/>
            <w:tcBorders>
              <w:top w:val="nil"/>
              <w:left w:val="nil"/>
              <w:bottom w:val="nil"/>
              <w:right w:val="nil"/>
            </w:tcBorders>
            <w:shd w:val="clear" w:color="auto" w:fill="auto"/>
            <w:noWrap/>
            <w:vAlign w:val="bottom"/>
            <w:hideMark/>
          </w:tcPr>
          <w:p w14:paraId="2AA41B0C" w14:textId="77777777" w:rsidR="00935CA9" w:rsidRPr="0021398F" w:rsidRDefault="00935CA9" w:rsidP="00935CA9">
            <w:pPr>
              <w:spacing w:after="0" w:line="240" w:lineRule="auto"/>
              <w:rPr>
                <w:color w:val="000000"/>
              </w:rPr>
            </w:pPr>
            <w:r w:rsidRPr="0021398F">
              <w:rPr>
                <w:color w:val="000000"/>
              </w:rPr>
              <w:t>.60</w:t>
            </w:r>
          </w:p>
        </w:tc>
      </w:tr>
      <w:tr w:rsidR="00935CA9" w:rsidRPr="0021398F" w14:paraId="45ED65AF" w14:textId="77777777" w:rsidTr="00F866EA">
        <w:trPr>
          <w:trHeight w:val="299"/>
        </w:trPr>
        <w:tc>
          <w:tcPr>
            <w:tcW w:w="1923" w:type="dxa"/>
            <w:tcBorders>
              <w:top w:val="nil"/>
              <w:left w:val="nil"/>
              <w:bottom w:val="nil"/>
              <w:right w:val="nil"/>
            </w:tcBorders>
            <w:shd w:val="clear" w:color="auto" w:fill="auto"/>
            <w:noWrap/>
            <w:vAlign w:val="bottom"/>
            <w:hideMark/>
          </w:tcPr>
          <w:p w14:paraId="6018A222" w14:textId="77777777" w:rsidR="00935CA9" w:rsidRPr="0021398F" w:rsidRDefault="00935CA9" w:rsidP="00935CA9">
            <w:pPr>
              <w:spacing w:after="0" w:line="240" w:lineRule="auto"/>
              <w:jc w:val="left"/>
              <w:rPr>
                <w:color w:val="000000"/>
              </w:rPr>
            </w:pPr>
            <w:r w:rsidRPr="0021398F">
              <w:rPr>
                <w:color w:val="000000"/>
              </w:rPr>
              <w:t>Jordan</w:t>
            </w:r>
          </w:p>
        </w:tc>
        <w:tc>
          <w:tcPr>
            <w:tcW w:w="1317" w:type="dxa"/>
            <w:tcBorders>
              <w:top w:val="nil"/>
              <w:left w:val="nil"/>
              <w:bottom w:val="nil"/>
              <w:right w:val="nil"/>
            </w:tcBorders>
            <w:shd w:val="clear" w:color="auto" w:fill="auto"/>
            <w:noWrap/>
            <w:vAlign w:val="bottom"/>
            <w:hideMark/>
          </w:tcPr>
          <w:p w14:paraId="2C10E55E" w14:textId="379008C8" w:rsidR="00935CA9" w:rsidRPr="0021398F" w:rsidRDefault="00935CA9" w:rsidP="00935CA9">
            <w:pPr>
              <w:spacing w:after="0" w:line="240" w:lineRule="auto"/>
              <w:rPr>
                <w:color w:val="000000"/>
              </w:rPr>
            </w:pPr>
            <w:r>
              <w:rPr>
                <w:color w:val="000000"/>
              </w:rPr>
              <w:t>.75</w:t>
            </w:r>
          </w:p>
        </w:tc>
        <w:tc>
          <w:tcPr>
            <w:tcW w:w="1350" w:type="dxa"/>
            <w:tcBorders>
              <w:top w:val="nil"/>
              <w:left w:val="nil"/>
              <w:bottom w:val="nil"/>
              <w:right w:val="nil"/>
            </w:tcBorders>
            <w:shd w:val="clear" w:color="auto" w:fill="auto"/>
            <w:noWrap/>
            <w:vAlign w:val="bottom"/>
            <w:hideMark/>
          </w:tcPr>
          <w:p w14:paraId="1F3C1A05" w14:textId="73D6DEE2" w:rsidR="00935CA9" w:rsidRPr="0021398F" w:rsidRDefault="00935CA9" w:rsidP="00935CA9">
            <w:pPr>
              <w:spacing w:after="0" w:line="240" w:lineRule="auto"/>
              <w:rPr>
                <w:color w:val="000000"/>
              </w:rPr>
            </w:pPr>
            <w:r>
              <w:rPr>
                <w:color w:val="000000"/>
              </w:rPr>
              <w:t>.72</w:t>
            </w:r>
          </w:p>
        </w:tc>
        <w:tc>
          <w:tcPr>
            <w:tcW w:w="1440" w:type="dxa"/>
            <w:tcBorders>
              <w:top w:val="nil"/>
              <w:left w:val="nil"/>
              <w:bottom w:val="nil"/>
              <w:right w:val="nil"/>
            </w:tcBorders>
            <w:shd w:val="clear" w:color="auto" w:fill="auto"/>
            <w:noWrap/>
            <w:vAlign w:val="center"/>
            <w:hideMark/>
          </w:tcPr>
          <w:p w14:paraId="5FBF079C" w14:textId="77777777" w:rsidR="00935CA9" w:rsidRPr="0021398F" w:rsidRDefault="00935CA9" w:rsidP="00935CA9">
            <w:pPr>
              <w:spacing w:after="0" w:line="240" w:lineRule="auto"/>
              <w:rPr>
                <w:color w:val="000000"/>
              </w:rPr>
            </w:pPr>
            <w:r w:rsidRPr="0021398F">
              <w:rPr>
                <w:color w:val="000000"/>
              </w:rPr>
              <w:t>.64</w:t>
            </w:r>
          </w:p>
        </w:tc>
        <w:tc>
          <w:tcPr>
            <w:tcW w:w="1379" w:type="dxa"/>
            <w:tcBorders>
              <w:top w:val="nil"/>
              <w:left w:val="nil"/>
              <w:bottom w:val="nil"/>
              <w:right w:val="nil"/>
            </w:tcBorders>
            <w:shd w:val="clear" w:color="auto" w:fill="auto"/>
            <w:noWrap/>
            <w:vAlign w:val="bottom"/>
            <w:hideMark/>
          </w:tcPr>
          <w:p w14:paraId="3E93C4B0" w14:textId="77777777" w:rsidR="00935CA9" w:rsidRPr="0021398F" w:rsidRDefault="00935CA9" w:rsidP="00935CA9">
            <w:pPr>
              <w:spacing w:after="0" w:line="240" w:lineRule="auto"/>
              <w:rPr>
                <w:color w:val="000000"/>
              </w:rPr>
            </w:pPr>
            <w:r w:rsidRPr="0021398F">
              <w:rPr>
                <w:color w:val="000000"/>
              </w:rPr>
              <w:t>.49</w:t>
            </w:r>
          </w:p>
        </w:tc>
      </w:tr>
      <w:tr w:rsidR="00935CA9" w:rsidRPr="0021398F" w14:paraId="18D66000" w14:textId="77777777" w:rsidTr="00F866EA">
        <w:trPr>
          <w:trHeight w:val="299"/>
        </w:trPr>
        <w:tc>
          <w:tcPr>
            <w:tcW w:w="1923" w:type="dxa"/>
            <w:tcBorders>
              <w:top w:val="nil"/>
              <w:left w:val="nil"/>
              <w:bottom w:val="nil"/>
              <w:right w:val="nil"/>
            </w:tcBorders>
            <w:shd w:val="clear" w:color="auto" w:fill="auto"/>
            <w:noWrap/>
            <w:vAlign w:val="bottom"/>
            <w:hideMark/>
          </w:tcPr>
          <w:p w14:paraId="3F62CAEF" w14:textId="77777777" w:rsidR="00935CA9" w:rsidRPr="0021398F" w:rsidRDefault="00935CA9" w:rsidP="00935CA9">
            <w:pPr>
              <w:spacing w:after="0" w:line="240" w:lineRule="auto"/>
              <w:jc w:val="left"/>
              <w:rPr>
                <w:color w:val="000000"/>
              </w:rPr>
            </w:pPr>
            <w:r w:rsidRPr="0021398F">
              <w:rPr>
                <w:color w:val="000000"/>
              </w:rPr>
              <w:t>Kenya</w:t>
            </w:r>
          </w:p>
        </w:tc>
        <w:tc>
          <w:tcPr>
            <w:tcW w:w="1317" w:type="dxa"/>
            <w:tcBorders>
              <w:top w:val="nil"/>
              <w:left w:val="nil"/>
              <w:bottom w:val="nil"/>
              <w:right w:val="nil"/>
            </w:tcBorders>
            <w:shd w:val="clear" w:color="auto" w:fill="auto"/>
            <w:noWrap/>
            <w:vAlign w:val="bottom"/>
            <w:hideMark/>
          </w:tcPr>
          <w:p w14:paraId="4C0FFCEE" w14:textId="43D8404C" w:rsidR="00935CA9" w:rsidRPr="0021398F" w:rsidRDefault="00935CA9" w:rsidP="00935CA9">
            <w:pPr>
              <w:spacing w:after="0" w:line="240" w:lineRule="auto"/>
              <w:rPr>
                <w:color w:val="000000"/>
              </w:rPr>
            </w:pPr>
            <w:r>
              <w:rPr>
                <w:color w:val="000000"/>
              </w:rPr>
              <w:t>.72</w:t>
            </w:r>
          </w:p>
        </w:tc>
        <w:tc>
          <w:tcPr>
            <w:tcW w:w="1350" w:type="dxa"/>
            <w:tcBorders>
              <w:top w:val="nil"/>
              <w:left w:val="nil"/>
              <w:bottom w:val="nil"/>
              <w:right w:val="nil"/>
            </w:tcBorders>
            <w:shd w:val="clear" w:color="auto" w:fill="auto"/>
            <w:noWrap/>
            <w:vAlign w:val="bottom"/>
            <w:hideMark/>
          </w:tcPr>
          <w:p w14:paraId="1C670297" w14:textId="2703DDA4" w:rsidR="00935CA9" w:rsidRPr="0021398F" w:rsidRDefault="00935CA9" w:rsidP="00935CA9">
            <w:pPr>
              <w:spacing w:after="0" w:line="240" w:lineRule="auto"/>
              <w:rPr>
                <w:color w:val="000000"/>
              </w:rPr>
            </w:pPr>
            <w:r>
              <w:rPr>
                <w:color w:val="000000"/>
              </w:rPr>
              <w:t>.01</w:t>
            </w:r>
          </w:p>
        </w:tc>
        <w:tc>
          <w:tcPr>
            <w:tcW w:w="1440" w:type="dxa"/>
            <w:tcBorders>
              <w:top w:val="nil"/>
              <w:left w:val="nil"/>
              <w:bottom w:val="nil"/>
              <w:right w:val="nil"/>
            </w:tcBorders>
            <w:shd w:val="clear" w:color="auto" w:fill="auto"/>
            <w:noWrap/>
            <w:vAlign w:val="center"/>
            <w:hideMark/>
          </w:tcPr>
          <w:p w14:paraId="36DB2350" w14:textId="77777777" w:rsidR="00935CA9" w:rsidRPr="0021398F" w:rsidRDefault="00935CA9" w:rsidP="00935CA9">
            <w:pPr>
              <w:spacing w:after="0" w:line="240" w:lineRule="auto"/>
              <w:rPr>
                <w:color w:val="000000"/>
              </w:rPr>
            </w:pPr>
            <w:r w:rsidRPr="0021398F">
              <w:rPr>
                <w:color w:val="000000"/>
              </w:rPr>
              <w:t>.66</w:t>
            </w:r>
          </w:p>
        </w:tc>
        <w:tc>
          <w:tcPr>
            <w:tcW w:w="1379" w:type="dxa"/>
            <w:tcBorders>
              <w:top w:val="nil"/>
              <w:left w:val="nil"/>
              <w:bottom w:val="nil"/>
              <w:right w:val="nil"/>
            </w:tcBorders>
            <w:shd w:val="clear" w:color="auto" w:fill="auto"/>
            <w:noWrap/>
            <w:vAlign w:val="bottom"/>
            <w:hideMark/>
          </w:tcPr>
          <w:p w14:paraId="0FE68058" w14:textId="77777777" w:rsidR="00935CA9" w:rsidRPr="0021398F" w:rsidRDefault="00935CA9" w:rsidP="00935CA9">
            <w:pPr>
              <w:spacing w:after="0" w:line="240" w:lineRule="auto"/>
              <w:rPr>
                <w:color w:val="000000"/>
              </w:rPr>
            </w:pPr>
            <w:r w:rsidRPr="0021398F">
              <w:rPr>
                <w:color w:val="000000"/>
              </w:rPr>
              <w:t>.43</w:t>
            </w:r>
          </w:p>
        </w:tc>
      </w:tr>
      <w:tr w:rsidR="00935CA9" w:rsidRPr="0021398F" w14:paraId="315B277A" w14:textId="77777777" w:rsidTr="00F866EA">
        <w:trPr>
          <w:trHeight w:val="299"/>
        </w:trPr>
        <w:tc>
          <w:tcPr>
            <w:tcW w:w="1923" w:type="dxa"/>
            <w:tcBorders>
              <w:top w:val="nil"/>
              <w:left w:val="nil"/>
              <w:bottom w:val="nil"/>
              <w:right w:val="nil"/>
            </w:tcBorders>
            <w:shd w:val="clear" w:color="auto" w:fill="auto"/>
            <w:noWrap/>
            <w:vAlign w:val="bottom"/>
            <w:hideMark/>
          </w:tcPr>
          <w:p w14:paraId="732DA408" w14:textId="77777777" w:rsidR="00935CA9" w:rsidRPr="0021398F" w:rsidRDefault="00935CA9" w:rsidP="00935CA9">
            <w:pPr>
              <w:spacing w:after="0" w:line="240" w:lineRule="auto"/>
              <w:jc w:val="left"/>
              <w:rPr>
                <w:color w:val="000000"/>
              </w:rPr>
            </w:pPr>
            <w:r w:rsidRPr="0021398F">
              <w:rPr>
                <w:color w:val="000000"/>
              </w:rPr>
              <w:t>Latvia</w:t>
            </w:r>
          </w:p>
        </w:tc>
        <w:tc>
          <w:tcPr>
            <w:tcW w:w="1317" w:type="dxa"/>
            <w:tcBorders>
              <w:top w:val="nil"/>
              <w:left w:val="nil"/>
              <w:bottom w:val="nil"/>
              <w:right w:val="nil"/>
            </w:tcBorders>
            <w:shd w:val="clear" w:color="auto" w:fill="auto"/>
            <w:noWrap/>
            <w:vAlign w:val="bottom"/>
            <w:hideMark/>
          </w:tcPr>
          <w:p w14:paraId="38FAC469" w14:textId="3A79FA21" w:rsidR="00935CA9" w:rsidRPr="0021398F" w:rsidRDefault="00935CA9" w:rsidP="00935CA9">
            <w:pPr>
              <w:spacing w:after="0" w:line="240" w:lineRule="auto"/>
              <w:rPr>
                <w:color w:val="000000"/>
              </w:rPr>
            </w:pPr>
            <w:r>
              <w:rPr>
                <w:color w:val="000000"/>
              </w:rPr>
              <w:t>.92</w:t>
            </w:r>
          </w:p>
        </w:tc>
        <w:tc>
          <w:tcPr>
            <w:tcW w:w="1350" w:type="dxa"/>
            <w:tcBorders>
              <w:top w:val="nil"/>
              <w:left w:val="nil"/>
              <w:bottom w:val="nil"/>
              <w:right w:val="nil"/>
            </w:tcBorders>
            <w:shd w:val="clear" w:color="auto" w:fill="auto"/>
            <w:noWrap/>
            <w:vAlign w:val="bottom"/>
            <w:hideMark/>
          </w:tcPr>
          <w:p w14:paraId="074DD394" w14:textId="61354529" w:rsidR="00935CA9" w:rsidRPr="0021398F" w:rsidRDefault="00935CA9" w:rsidP="00935CA9">
            <w:pPr>
              <w:spacing w:after="0" w:line="240" w:lineRule="auto"/>
              <w:rPr>
                <w:color w:val="000000"/>
              </w:rPr>
            </w:pPr>
            <w:r>
              <w:rPr>
                <w:color w:val="000000"/>
              </w:rPr>
              <w:t>.84</w:t>
            </w:r>
          </w:p>
        </w:tc>
        <w:tc>
          <w:tcPr>
            <w:tcW w:w="1440" w:type="dxa"/>
            <w:tcBorders>
              <w:top w:val="nil"/>
              <w:left w:val="nil"/>
              <w:bottom w:val="nil"/>
              <w:right w:val="nil"/>
            </w:tcBorders>
            <w:shd w:val="clear" w:color="auto" w:fill="auto"/>
            <w:noWrap/>
            <w:vAlign w:val="center"/>
            <w:hideMark/>
          </w:tcPr>
          <w:p w14:paraId="4FBA89AA" w14:textId="77777777" w:rsidR="00935CA9" w:rsidRPr="0021398F" w:rsidRDefault="00935CA9" w:rsidP="00935CA9">
            <w:pPr>
              <w:spacing w:after="0" w:line="240" w:lineRule="auto"/>
              <w:rPr>
                <w:color w:val="000000"/>
              </w:rPr>
            </w:pPr>
            <w:r w:rsidRPr="0021398F">
              <w:rPr>
                <w:color w:val="000000"/>
              </w:rPr>
              <w:t>.84</w:t>
            </w:r>
          </w:p>
        </w:tc>
        <w:tc>
          <w:tcPr>
            <w:tcW w:w="1379" w:type="dxa"/>
            <w:tcBorders>
              <w:top w:val="nil"/>
              <w:left w:val="nil"/>
              <w:bottom w:val="nil"/>
              <w:right w:val="nil"/>
            </w:tcBorders>
            <w:shd w:val="clear" w:color="auto" w:fill="auto"/>
            <w:noWrap/>
            <w:vAlign w:val="bottom"/>
            <w:hideMark/>
          </w:tcPr>
          <w:p w14:paraId="424021BD" w14:textId="77777777" w:rsidR="00935CA9" w:rsidRPr="0021398F" w:rsidRDefault="00935CA9" w:rsidP="00935CA9">
            <w:pPr>
              <w:spacing w:after="0" w:line="240" w:lineRule="auto"/>
              <w:rPr>
                <w:color w:val="000000"/>
              </w:rPr>
            </w:pPr>
            <w:r w:rsidRPr="0021398F">
              <w:rPr>
                <w:color w:val="000000"/>
              </w:rPr>
              <w:t>.76</w:t>
            </w:r>
          </w:p>
        </w:tc>
      </w:tr>
      <w:tr w:rsidR="00935CA9" w:rsidRPr="0021398F" w14:paraId="23C1D194" w14:textId="77777777" w:rsidTr="00F866EA">
        <w:trPr>
          <w:trHeight w:val="299"/>
        </w:trPr>
        <w:tc>
          <w:tcPr>
            <w:tcW w:w="1923" w:type="dxa"/>
            <w:tcBorders>
              <w:top w:val="nil"/>
              <w:left w:val="nil"/>
              <w:bottom w:val="nil"/>
              <w:right w:val="nil"/>
            </w:tcBorders>
            <w:shd w:val="clear" w:color="auto" w:fill="auto"/>
            <w:noWrap/>
            <w:vAlign w:val="bottom"/>
            <w:hideMark/>
          </w:tcPr>
          <w:p w14:paraId="110648AB" w14:textId="77777777" w:rsidR="00935CA9" w:rsidRPr="0021398F" w:rsidRDefault="00935CA9" w:rsidP="00935CA9">
            <w:pPr>
              <w:spacing w:after="0" w:line="240" w:lineRule="auto"/>
              <w:jc w:val="left"/>
              <w:rPr>
                <w:color w:val="000000"/>
              </w:rPr>
            </w:pPr>
            <w:r w:rsidRPr="0021398F">
              <w:rPr>
                <w:color w:val="000000"/>
              </w:rPr>
              <w:lastRenderedPageBreak/>
              <w:t>Lithuania</w:t>
            </w:r>
          </w:p>
        </w:tc>
        <w:tc>
          <w:tcPr>
            <w:tcW w:w="1317" w:type="dxa"/>
            <w:tcBorders>
              <w:top w:val="nil"/>
              <w:left w:val="nil"/>
              <w:bottom w:val="nil"/>
              <w:right w:val="nil"/>
            </w:tcBorders>
            <w:shd w:val="clear" w:color="auto" w:fill="auto"/>
            <w:noWrap/>
            <w:vAlign w:val="bottom"/>
            <w:hideMark/>
          </w:tcPr>
          <w:p w14:paraId="391E7754" w14:textId="0F062341"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60D495A0" w14:textId="64CF4DBC" w:rsidR="00935CA9" w:rsidRPr="0021398F" w:rsidRDefault="00935CA9" w:rsidP="00935CA9">
            <w:pPr>
              <w:spacing w:after="0" w:line="240" w:lineRule="auto"/>
              <w:rPr>
                <w:color w:val="000000"/>
              </w:rPr>
            </w:pPr>
            <w:r>
              <w:rPr>
                <w:color w:val="000000"/>
              </w:rPr>
              <w:t>.33</w:t>
            </w:r>
          </w:p>
        </w:tc>
        <w:tc>
          <w:tcPr>
            <w:tcW w:w="1440" w:type="dxa"/>
            <w:tcBorders>
              <w:top w:val="nil"/>
              <w:left w:val="nil"/>
              <w:bottom w:val="nil"/>
              <w:right w:val="nil"/>
            </w:tcBorders>
            <w:shd w:val="clear" w:color="auto" w:fill="auto"/>
            <w:noWrap/>
            <w:vAlign w:val="center"/>
            <w:hideMark/>
          </w:tcPr>
          <w:p w14:paraId="567CF93C" w14:textId="77777777" w:rsidR="00935CA9" w:rsidRPr="0021398F" w:rsidRDefault="00935CA9" w:rsidP="00935CA9">
            <w:pPr>
              <w:spacing w:after="0" w:line="240" w:lineRule="auto"/>
              <w:rPr>
                <w:color w:val="000000"/>
              </w:rPr>
            </w:pPr>
            <w:r w:rsidRPr="0021398F">
              <w:rPr>
                <w:color w:val="000000"/>
              </w:rPr>
              <w:t>.85</w:t>
            </w:r>
          </w:p>
        </w:tc>
        <w:tc>
          <w:tcPr>
            <w:tcW w:w="1379" w:type="dxa"/>
            <w:tcBorders>
              <w:top w:val="nil"/>
              <w:left w:val="nil"/>
              <w:bottom w:val="nil"/>
              <w:right w:val="nil"/>
            </w:tcBorders>
            <w:shd w:val="clear" w:color="auto" w:fill="auto"/>
            <w:noWrap/>
            <w:vAlign w:val="bottom"/>
            <w:hideMark/>
          </w:tcPr>
          <w:p w14:paraId="13725209" w14:textId="77777777" w:rsidR="00935CA9" w:rsidRPr="0021398F" w:rsidRDefault="00935CA9" w:rsidP="00935CA9">
            <w:pPr>
              <w:spacing w:after="0" w:line="240" w:lineRule="auto"/>
              <w:rPr>
                <w:color w:val="000000"/>
              </w:rPr>
            </w:pPr>
            <w:r w:rsidRPr="0021398F">
              <w:rPr>
                <w:color w:val="000000"/>
              </w:rPr>
              <w:t>.69</w:t>
            </w:r>
          </w:p>
        </w:tc>
      </w:tr>
      <w:tr w:rsidR="00935CA9" w:rsidRPr="0021398F" w14:paraId="40DF663E" w14:textId="77777777" w:rsidTr="00F866EA">
        <w:trPr>
          <w:trHeight w:val="299"/>
        </w:trPr>
        <w:tc>
          <w:tcPr>
            <w:tcW w:w="1923" w:type="dxa"/>
            <w:tcBorders>
              <w:top w:val="nil"/>
              <w:left w:val="nil"/>
              <w:bottom w:val="nil"/>
              <w:right w:val="nil"/>
            </w:tcBorders>
            <w:shd w:val="clear" w:color="auto" w:fill="auto"/>
            <w:noWrap/>
            <w:vAlign w:val="bottom"/>
            <w:hideMark/>
          </w:tcPr>
          <w:p w14:paraId="5D91D7FB" w14:textId="77777777" w:rsidR="00935CA9" w:rsidRPr="0021398F" w:rsidRDefault="00935CA9" w:rsidP="00935CA9">
            <w:pPr>
              <w:spacing w:after="0" w:line="240" w:lineRule="auto"/>
              <w:jc w:val="left"/>
              <w:rPr>
                <w:color w:val="000000"/>
              </w:rPr>
            </w:pPr>
            <w:r w:rsidRPr="0021398F">
              <w:rPr>
                <w:color w:val="000000"/>
              </w:rPr>
              <w:t>Macedonia</w:t>
            </w:r>
          </w:p>
        </w:tc>
        <w:tc>
          <w:tcPr>
            <w:tcW w:w="1317" w:type="dxa"/>
            <w:tcBorders>
              <w:top w:val="nil"/>
              <w:left w:val="nil"/>
              <w:bottom w:val="nil"/>
              <w:right w:val="nil"/>
            </w:tcBorders>
            <w:shd w:val="clear" w:color="auto" w:fill="auto"/>
            <w:noWrap/>
            <w:vAlign w:val="bottom"/>
            <w:hideMark/>
          </w:tcPr>
          <w:p w14:paraId="3F17A162" w14:textId="3AB3A8DA" w:rsidR="00935CA9" w:rsidRPr="0021398F" w:rsidRDefault="00935CA9" w:rsidP="00935CA9">
            <w:pPr>
              <w:spacing w:after="0" w:line="240" w:lineRule="auto"/>
              <w:rPr>
                <w:color w:val="000000"/>
              </w:rPr>
            </w:pPr>
            <w:r>
              <w:rPr>
                <w:color w:val="000000"/>
              </w:rPr>
              <w:t>.84</w:t>
            </w:r>
          </w:p>
        </w:tc>
        <w:tc>
          <w:tcPr>
            <w:tcW w:w="1350" w:type="dxa"/>
            <w:tcBorders>
              <w:top w:val="nil"/>
              <w:left w:val="nil"/>
              <w:bottom w:val="nil"/>
              <w:right w:val="nil"/>
            </w:tcBorders>
            <w:shd w:val="clear" w:color="auto" w:fill="auto"/>
            <w:noWrap/>
            <w:vAlign w:val="bottom"/>
            <w:hideMark/>
          </w:tcPr>
          <w:p w14:paraId="08970758" w14:textId="37373F58" w:rsidR="00935CA9" w:rsidRPr="0021398F" w:rsidRDefault="00935CA9" w:rsidP="00935CA9">
            <w:pPr>
              <w:spacing w:after="0" w:line="240" w:lineRule="auto"/>
              <w:rPr>
                <w:color w:val="000000"/>
              </w:rPr>
            </w:pPr>
            <w:r>
              <w:rPr>
                <w:color w:val="000000"/>
              </w:rPr>
              <w:t>.77</w:t>
            </w:r>
          </w:p>
        </w:tc>
        <w:tc>
          <w:tcPr>
            <w:tcW w:w="1440" w:type="dxa"/>
            <w:tcBorders>
              <w:top w:val="nil"/>
              <w:left w:val="nil"/>
              <w:bottom w:val="nil"/>
              <w:right w:val="nil"/>
            </w:tcBorders>
            <w:shd w:val="clear" w:color="auto" w:fill="auto"/>
            <w:noWrap/>
            <w:vAlign w:val="center"/>
            <w:hideMark/>
          </w:tcPr>
          <w:p w14:paraId="25016D2C" w14:textId="77777777" w:rsidR="00935CA9" w:rsidRPr="0021398F" w:rsidRDefault="00935CA9" w:rsidP="00935CA9">
            <w:pPr>
              <w:spacing w:after="0" w:line="240" w:lineRule="auto"/>
              <w:rPr>
                <w:color w:val="000000"/>
              </w:rPr>
            </w:pPr>
            <w:r w:rsidRPr="0021398F">
              <w:rPr>
                <w:color w:val="000000"/>
              </w:rPr>
              <w:t>.77</w:t>
            </w:r>
          </w:p>
        </w:tc>
        <w:tc>
          <w:tcPr>
            <w:tcW w:w="1379" w:type="dxa"/>
            <w:tcBorders>
              <w:top w:val="nil"/>
              <w:left w:val="nil"/>
              <w:bottom w:val="nil"/>
              <w:right w:val="nil"/>
            </w:tcBorders>
            <w:shd w:val="clear" w:color="auto" w:fill="auto"/>
            <w:noWrap/>
            <w:vAlign w:val="bottom"/>
            <w:hideMark/>
          </w:tcPr>
          <w:p w14:paraId="42C5FF49" w14:textId="77777777" w:rsidR="00935CA9" w:rsidRPr="0021398F" w:rsidRDefault="00935CA9" w:rsidP="00935CA9">
            <w:pPr>
              <w:spacing w:after="0" w:line="240" w:lineRule="auto"/>
              <w:rPr>
                <w:color w:val="000000"/>
              </w:rPr>
            </w:pPr>
            <w:r w:rsidRPr="0021398F">
              <w:rPr>
                <w:color w:val="000000"/>
              </w:rPr>
              <w:t>.60</w:t>
            </w:r>
          </w:p>
        </w:tc>
      </w:tr>
      <w:tr w:rsidR="00935CA9" w:rsidRPr="0021398F" w14:paraId="7E9827A1" w14:textId="77777777" w:rsidTr="00F866EA">
        <w:trPr>
          <w:trHeight w:val="299"/>
        </w:trPr>
        <w:tc>
          <w:tcPr>
            <w:tcW w:w="1923" w:type="dxa"/>
            <w:tcBorders>
              <w:top w:val="nil"/>
              <w:left w:val="nil"/>
              <w:bottom w:val="nil"/>
              <w:right w:val="nil"/>
            </w:tcBorders>
            <w:shd w:val="clear" w:color="auto" w:fill="auto"/>
            <w:noWrap/>
            <w:vAlign w:val="bottom"/>
            <w:hideMark/>
          </w:tcPr>
          <w:p w14:paraId="55622061" w14:textId="77777777" w:rsidR="00935CA9" w:rsidRPr="0021398F" w:rsidRDefault="00935CA9" w:rsidP="00935CA9">
            <w:pPr>
              <w:spacing w:after="0" w:line="240" w:lineRule="auto"/>
              <w:jc w:val="left"/>
              <w:rPr>
                <w:color w:val="000000"/>
              </w:rPr>
            </w:pPr>
            <w:r w:rsidRPr="0021398F">
              <w:rPr>
                <w:color w:val="000000"/>
              </w:rPr>
              <w:t>Malaysia</w:t>
            </w:r>
          </w:p>
        </w:tc>
        <w:tc>
          <w:tcPr>
            <w:tcW w:w="1317" w:type="dxa"/>
            <w:tcBorders>
              <w:top w:val="nil"/>
              <w:left w:val="nil"/>
              <w:bottom w:val="nil"/>
              <w:right w:val="nil"/>
            </w:tcBorders>
            <w:shd w:val="clear" w:color="auto" w:fill="auto"/>
            <w:noWrap/>
            <w:vAlign w:val="bottom"/>
            <w:hideMark/>
          </w:tcPr>
          <w:p w14:paraId="30810A7F" w14:textId="4D1EF2F1" w:rsidR="00935CA9" w:rsidRPr="0021398F" w:rsidRDefault="00935CA9" w:rsidP="00935CA9">
            <w:pPr>
              <w:spacing w:after="0" w:line="240" w:lineRule="auto"/>
              <w:rPr>
                <w:color w:val="000000"/>
              </w:rPr>
            </w:pPr>
            <w:r>
              <w:rPr>
                <w:color w:val="000000"/>
              </w:rPr>
              <w:t>.71</w:t>
            </w:r>
          </w:p>
        </w:tc>
        <w:tc>
          <w:tcPr>
            <w:tcW w:w="1350" w:type="dxa"/>
            <w:tcBorders>
              <w:top w:val="nil"/>
              <w:left w:val="nil"/>
              <w:bottom w:val="nil"/>
              <w:right w:val="nil"/>
            </w:tcBorders>
            <w:shd w:val="clear" w:color="auto" w:fill="auto"/>
            <w:noWrap/>
            <w:vAlign w:val="bottom"/>
            <w:hideMark/>
          </w:tcPr>
          <w:p w14:paraId="617C7B22" w14:textId="720EFE95" w:rsidR="00935CA9" w:rsidRPr="0021398F" w:rsidRDefault="00935CA9" w:rsidP="00935CA9">
            <w:pPr>
              <w:spacing w:after="0" w:line="240" w:lineRule="auto"/>
              <w:rPr>
                <w:color w:val="000000"/>
              </w:rPr>
            </w:pPr>
            <w:r>
              <w:rPr>
                <w:color w:val="000000"/>
              </w:rPr>
              <w:t>.01</w:t>
            </w:r>
          </w:p>
        </w:tc>
        <w:tc>
          <w:tcPr>
            <w:tcW w:w="1440" w:type="dxa"/>
            <w:tcBorders>
              <w:top w:val="nil"/>
              <w:left w:val="nil"/>
              <w:bottom w:val="nil"/>
              <w:right w:val="nil"/>
            </w:tcBorders>
            <w:shd w:val="clear" w:color="auto" w:fill="auto"/>
            <w:noWrap/>
            <w:vAlign w:val="center"/>
            <w:hideMark/>
          </w:tcPr>
          <w:p w14:paraId="7F8CAEC0" w14:textId="77777777" w:rsidR="00935CA9" w:rsidRPr="0021398F" w:rsidRDefault="00935CA9" w:rsidP="00935CA9">
            <w:pPr>
              <w:spacing w:after="0" w:line="240" w:lineRule="auto"/>
              <w:rPr>
                <w:color w:val="000000"/>
              </w:rPr>
            </w:pPr>
            <w:r w:rsidRPr="0021398F">
              <w:rPr>
                <w:color w:val="000000"/>
              </w:rPr>
              <w:t>.59</w:t>
            </w:r>
          </w:p>
        </w:tc>
        <w:tc>
          <w:tcPr>
            <w:tcW w:w="1379" w:type="dxa"/>
            <w:tcBorders>
              <w:top w:val="nil"/>
              <w:left w:val="nil"/>
              <w:bottom w:val="nil"/>
              <w:right w:val="nil"/>
            </w:tcBorders>
            <w:shd w:val="clear" w:color="auto" w:fill="auto"/>
            <w:noWrap/>
            <w:vAlign w:val="bottom"/>
            <w:hideMark/>
          </w:tcPr>
          <w:p w14:paraId="5318EF10" w14:textId="77777777" w:rsidR="00935CA9" w:rsidRPr="0021398F" w:rsidRDefault="00935CA9" w:rsidP="00935CA9">
            <w:pPr>
              <w:spacing w:after="0" w:line="240" w:lineRule="auto"/>
              <w:rPr>
                <w:color w:val="000000"/>
              </w:rPr>
            </w:pPr>
            <w:r w:rsidRPr="0021398F">
              <w:rPr>
                <w:color w:val="000000"/>
              </w:rPr>
              <w:t>.44</w:t>
            </w:r>
          </w:p>
        </w:tc>
      </w:tr>
      <w:tr w:rsidR="00935CA9" w:rsidRPr="0021398F" w14:paraId="088E446A" w14:textId="77777777" w:rsidTr="00F866EA">
        <w:trPr>
          <w:trHeight w:val="299"/>
        </w:trPr>
        <w:tc>
          <w:tcPr>
            <w:tcW w:w="1923" w:type="dxa"/>
            <w:tcBorders>
              <w:top w:val="nil"/>
              <w:left w:val="nil"/>
              <w:bottom w:val="nil"/>
              <w:right w:val="nil"/>
            </w:tcBorders>
            <w:shd w:val="clear" w:color="auto" w:fill="auto"/>
            <w:noWrap/>
            <w:vAlign w:val="bottom"/>
            <w:hideMark/>
          </w:tcPr>
          <w:p w14:paraId="2E353E21" w14:textId="77777777" w:rsidR="00935CA9" w:rsidRPr="0021398F" w:rsidRDefault="00935CA9" w:rsidP="00935CA9">
            <w:pPr>
              <w:spacing w:after="0" w:line="240" w:lineRule="auto"/>
              <w:jc w:val="left"/>
              <w:rPr>
                <w:color w:val="000000"/>
              </w:rPr>
            </w:pPr>
            <w:r w:rsidRPr="0021398F">
              <w:rPr>
                <w:color w:val="000000"/>
              </w:rPr>
              <w:t>Mexico</w:t>
            </w:r>
          </w:p>
        </w:tc>
        <w:tc>
          <w:tcPr>
            <w:tcW w:w="1317" w:type="dxa"/>
            <w:tcBorders>
              <w:top w:val="nil"/>
              <w:left w:val="nil"/>
              <w:bottom w:val="nil"/>
              <w:right w:val="nil"/>
            </w:tcBorders>
            <w:shd w:val="clear" w:color="auto" w:fill="auto"/>
            <w:noWrap/>
            <w:vAlign w:val="bottom"/>
            <w:hideMark/>
          </w:tcPr>
          <w:p w14:paraId="4B9D4E88" w14:textId="371AAD42" w:rsidR="00935CA9" w:rsidRPr="0021398F" w:rsidRDefault="00935CA9" w:rsidP="00935CA9">
            <w:pPr>
              <w:spacing w:after="0" w:line="240" w:lineRule="auto"/>
              <w:rPr>
                <w:color w:val="000000"/>
              </w:rPr>
            </w:pPr>
            <w:r>
              <w:rPr>
                <w:color w:val="000000"/>
              </w:rPr>
              <w:t>.78</w:t>
            </w:r>
          </w:p>
        </w:tc>
        <w:tc>
          <w:tcPr>
            <w:tcW w:w="1350" w:type="dxa"/>
            <w:tcBorders>
              <w:top w:val="nil"/>
              <w:left w:val="nil"/>
              <w:bottom w:val="nil"/>
              <w:right w:val="nil"/>
            </w:tcBorders>
            <w:shd w:val="clear" w:color="auto" w:fill="auto"/>
            <w:noWrap/>
            <w:vAlign w:val="bottom"/>
            <w:hideMark/>
          </w:tcPr>
          <w:p w14:paraId="6CDA8960" w14:textId="52A7AF2F" w:rsidR="00935CA9" w:rsidRPr="0021398F" w:rsidRDefault="00935CA9" w:rsidP="00935CA9">
            <w:pPr>
              <w:spacing w:after="0" w:line="240" w:lineRule="auto"/>
              <w:rPr>
                <w:color w:val="000000"/>
              </w:rPr>
            </w:pPr>
            <w:r>
              <w:rPr>
                <w:color w:val="000000"/>
              </w:rPr>
              <w:t>.01</w:t>
            </w:r>
          </w:p>
        </w:tc>
        <w:tc>
          <w:tcPr>
            <w:tcW w:w="1440" w:type="dxa"/>
            <w:tcBorders>
              <w:top w:val="nil"/>
              <w:left w:val="nil"/>
              <w:bottom w:val="nil"/>
              <w:right w:val="nil"/>
            </w:tcBorders>
            <w:shd w:val="clear" w:color="auto" w:fill="auto"/>
            <w:noWrap/>
            <w:vAlign w:val="center"/>
            <w:hideMark/>
          </w:tcPr>
          <w:p w14:paraId="16D51D24" w14:textId="77777777" w:rsidR="00935CA9" w:rsidRPr="0021398F" w:rsidRDefault="00935CA9" w:rsidP="00935CA9">
            <w:pPr>
              <w:spacing w:after="0" w:line="240" w:lineRule="auto"/>
              <w:rPr>
                <w:color w:val="000000"/>
              </w:rPr>
            </w:pPr>
            <w:r w:rsidRPr="0021398F">
              <w:rPr>
                <w:color w:val="000000"/>
              </w:rPr>
              <w:t>.72</w:t>
            </w:r>
          </w:p>
        </w:tc>
        <w:tc>
          <w:tcPr>
            <w:tcW w:w="1379" w:type="dxa"/>
            <w:tcBorders>
              <w:top w:val="nil"/>
              <w:left w:val="nil"/>
              <w:bottom w:val="nil"/>
              <w:right w:val="nil"/>
            </w:tcBorders>
            <w:shd w:val="clear" w:color="auto" w:fill="auto"/>
            <w:noWrap/>
            <w:vAlign w:val="bottom"/>
            <w:hideMark/>
          </w:tcPr>
          <w:p w14:paraId="08CBABE6" w14:textId="77777777" w:rsidR="00935CA9" w:rsidRPr="0021398F" w:rsidRDefault="00935CA9" w:rsidP="00935CA9">
            <w:pPr>
              <w:spacing w:after="0" w:line="240" w:lineRule="auto"/>
              <w:rPr>
                <w:color w:val="000000"/>
              </w:rPr>
            </w:pPr>
            <w:r w:rsidRPr="0021398F">
              <w:rPr>
                <w:color w:val="000000"/>
              </w:rPr>
              <w:t>.49</w:t>
            </w:r>
          </w:p>
        </w:tc>
      </w:tr>
      <w:tr w:rsidR="00935CA9" w:rsidRPr="0021398F" w14:paraId="64F27784" w14:textId="77777777" w:rsidTr="00F866EA">
        <w:trPr>
          <w:trHeight w:val="299"/>
        </w:trPr>
        <w:tc>
          <w:tcPr>
            <w:tcW w:w="1923" w:type="dxa"/>
            <w:tcBorders>
              <w:top w:val="nil"/>
              <w:left w:val="nil"/>
              <w:bottom w:val="nil"/>
              <w:right w:val="nil"/>
            </w:tcBorders>
            <w:shd w:val="clear" w:color="auto" w:fill="auto"/>
            <w:noWrap/>
            <w:vAlign w:val="bottom"/>
            <w:hideMark/>
          </w:tcPr>
          <w:p w14:paraId="54E35047" w14:textId="77777777" w:rsidR="00935CA9" w:rsidRPr="0021398F" w:rsidRDefault="00935CA9" w:rsidP="00935CA9">
            <w:pPr>
              <w:spacing w:after="0" w:line="240" w:lineRule="auto"/>
              <w:jc w:val="left"/>
              <w:rPr>
                <w:color w:val="000000"/>
              </w:rPr>
            </w:pPr>
            <w:r w:rsidRPr="0021398F">
              <w:rPr>
                <w:color w:val="000000"/>
              </w:rPr>
              <w:t>Netherlands</w:t>
            </w:r>
          </w:p>
        </w:tc>
        <w:tc>
          <w:tcPr>
            <w:tcW w:w="1317" w:type="dxa"/>
            <w:tcBorders>
              <w:top w:val="nil"/>
              <w:left w:val="nil"/>
              <w:bottom w:val="nil"/>
              <w:right w:val="nil"/>
            </w:tcBorders>
            <w:shd w:val="clear" w:color="auto" w:fill="auto"/>
            <w:noWrap/>
            <w:vAlign w:val="bottom"/>
            <w:hideMark/>
          </w:tcPr>
          <w:p w14:paraId="2F8B8F5B" w14:textId="5705D130" w:rsidR="00935CA9" w:rsidRPr="0021398F" w:rsidRDefault="00935CA9" w:rsidP="00935CA9">
            <w:pPr>
              <w:spacing w:after="0" w:line="240" w:lineRule="auto"/>
              <w:rPr>
                <w:color w:val="000000"/>
              </w:rPr>
            </w:pPr>
            <w:r>
              <w:rPr>
                <w:color w:val="000000"/>
              </w:rPr>
              <w:t>.92</w:t>
            </w:r>
          </w:p>
        </w:tc>
        <w:tc>
          <w:tcPr>
            <w:tcW w:w="1350" w:type="dxa"/>
            <w:tcBorders>
              <w:top w:val="nil"/>
              <w:left w:val="nil"/>
              <w:bottom w:val="nil"/>
              <w:right w:val="nil"/>
            </w:tcBorders>
            <w:shd w:val="clear" w:color="auto" w:fill="auto"/>
            <w:noWrap/>
            <w:vAlign w:val="bottom"/>
            <w:hideMark/>
          </w:tcPr>
          <w:p w14:paraId="18076E8D" w14:textId="27344828" w:rsidR="00935CA9" w:rsidRPr="0021398F" w:rsidRDefault="00935CA9" w:rsidP="00935CA9">
            <w:pPr>
              <w:spacing w:after="0" w:line="240" w:lineRule="auto"/>
              <w:rPr>
                <w:color w:val="000000"/>
              </w:rPr>
            </w:pPr>
            <w:r>
              <w:rPr>
                <w:color w:val="000000"/>
              </w:rPr>
              <w:t>.88</w:t>
            </w:r>
          </w:p>
        </w:tc>
        <w:tc>
          <w:tcPr>
            <w:tcW w:w="1440" w:type="dxa"/>
            <w:tcBorders>
              <w:top w:val="nil"/>
              <w:left w:val="nil"/>
              <w:bottom w:val="nil"/>
              <w:right w:val="nil"/>
            </w:tcBorders>
            <w:shd w:val="clear" w:color="auto" w:fill="auto"/>
            <w:noWrap/>
            <w:vAlign w:val="center"/>
            <w:hideMark/>
          </w:tcPr>
          <w:p w14:paraId="7028DE8D" w14:textId="77777777" w:rsidR="00935CA9" w:rsidRPr="0021398F" w:rsidRDefault="00935CA9" w:rsidP="00935CA9">
            <w:pPr>
              <w:spacing w:after="0" w:line="240" w:lineRule="auto"/>
              <w:rPr>
                <w:color w:val="000000"/>
              </w:rPr>
            </w:pPr>
            <w:r w:rsidRPr="0021398F">
              <w:rPr>
                <w:color w:val="000000"/>
              </w:rPr>
              <w:t>.87</w:t>
            </w:r>
          </w:p>
        </w:tc>
        <w:tc>
          <w:tcPr>
            <w:tcW w:w="1379" w:type="dxa"/>
            <w:tcBorders>
              <w:top w:val="nil"/>
              <w:left w:val="nil"/>
              <w:bottom w:val="nil"/>
              <w:right w:val="nil"/>
            </w:tcBorders>
            <w:shd w:val="clear" w:color="auto" w:fill="auto"/>
            <w:noWrap/>
            <w:vAlign w:val="bottom"/>
            <w:hideMark/>
          </w:tcPr>
          <w:p w14:paraId="6AEEC46D" w14:textId="77777777" w:rsidR="00935CA9" w:rsidRPr="0021398F" w:rsidRDefault="00935CA9" w:rsidP="00935CA9">
            <w:pPr>
              <w:spacing w:after="0" w:line="240" w:lineRule="auto"/>
              <w:rPr>
                <w:color w:val="000000"/>
              </w:rPr>
            </w:pPr>
            <w:r w:rsidRPr="0021398F">
              <w:rPr>
                <w:color w:val="000000"/>
              </w:rPr>
              <w:t>.76</w:t>
            </w:r>
          </w:p>
        </w:tc>
      </w:tr>
      <w:tr w:rsidR="00935CA9" w:rsidRPr="0021398F" w14:paraId="03992A7D" w14:textId="77777777" w:rsidTr="00F866EA">
        <w:trPr>
          <w:trHeight w:val="299"/>
        </w:trPr>
        <w:tc>
          <w:tcPr>
            <w:tcW w:w="1923" w:type="dxa"/>
            <w:tcBorders>
              <w:top w:val="nil"/>
              <w:left w:val="nil"/>
              <w:bottom w:val="nil"/>
              <w:right w:val="nil"/>
            </w:tcBorders>
            <w:shd w:val="clear" w:color="auto" w:fill="auto"/>
            <w:noWrap/>
            <w:vAlign w:val="bottom"/>
            <w:hideMark/>
          </w:tcPr>
          <w:p w14:paraId="44DFEEC6" w14:textId="77777777" w:rsidR="00935CA9" w:rsidRPr="0021398F" w:rsidRDefault="00935CA9" w:rsidP="00935CA9">
            <w:pPr>
              <w:spacing w:after="0" w:line="240" w:lineRule="auto"/>
              <w:jc w:val="left"/>
              <w:rPr>
                <w:color w:val="000000"/>
              </w:rPr>
            </w:pPr>
            <w:r w:rsidRPr="0021398F">
              <w:rPr>
                <w:color w:val="000000"/>
              </w:rPr>
              <w:t>New Zealand</w:t>
            </w:r>
          </w:p>
        </w:tc>
        <w:tc>
          <w:tcPr>
            <w:tcW w:w="1317" w:type="dxa"/>
            <w:tcBorders>
              <w:top w:val="nil"/>
              <w:left w:val="nil"/>
              <w:bottom w:val="nil"/>
              <w:right w:val="nil"/>
            </w:tcBorders>
            <w:shd w:val="clear" w:color="auto" w:fill="auto"/>
            <w:noWrap/>
            <w:vAlign w:val="bottom"/>
            <w:hideMark/>
          </w:tcPr>
          <w:p w14:paraId="5DD80A61" w14:textId="7BDC2B10" w:rsidR="00935CA9" w:rsidRPr="0021398F" w:rsidRDefault="00935CA9" w:rsidP="00935CA9">
            <w:pPr>
              <w:spacing w:after="0" w:line="240" w:lineRule="auto"/>
              <w:rPr>
                <w:color w:val="000000"/>
              </w:rPr>
            </w:pPr>
            <w:r>
              <w:rPr>
                <w:color w:val="000000"/>
              </w:rPr>
              <w:t>.86</w:t>
            </w:r>
          </w:p>
        </w:tc>
        <w:tc>
          <w:tcPr>
            <w:tcW w:w="1350" w:type="dxa"/>
            <w:tcBorders>
              <w:top w:val="nil"/>
              <w:left w:val="nil"/>
              <w:bottom w:val="nil"/>
              <w:right w:val="nil"/>
            </w:tcBorders>
            <w:shd w:val="clear" w:color="auto" w:fill="auto"/>
            <w:noWrap/>
            <w:vAlign w:val="bottom"/>
            <w:hideMark/>
          </w:tcPr>
          <w:p w14:paraId="44130D05" w14:textId="546F02BF" w:rsidR="00935CA9" w:rsidRPr="0021398F" w:rsidRDefault="00935CA9" w:rsidP="00935CA9">
            <w:pPr>
              <w:spacing w:after="0" w:line="240" w:lineRule="auto"/>
              <w:rPr>
                <w:color w:val="000000"/>
              </w:rPr>
            </w:pPr>
            <w:r>
              <w:rPr>
                <w:color w:val="000000"/>
              </w:rPr>
              <w:t>.01</w:t>
            </w:r>
          </w:p>
        </w:tc>
        <w:tc>
          <w:tcPr>
            <w:tcW w:w="1440" w:type="dxa"/>
            <w:tcBorders>
              <w:top w:val="nil"/>
              <w:left w:val="nil"/>
              <w:bottom w:val="nil"/>
              <w:right w:val="nil"/>
            </w:tcBorders>
            <w:shd w:val="clear" w:color="auto" w:fill="auto"/>
            <w:noWrap/>
            <w:vAlign w:val="center"/>
            <w:hideMark/>
          </w:tcPr>
          <w:p w14:paraId="29E7543B"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2A9725FD" w14:textId="77777777" w:rsidR="00935CA9" w:rsidRPr="0021398F" w:rsidRDefault="00935CA9" w:rsidP="00935CA9">
            <w:pPr>
              <w:spacing w:after="0" w:line="240" w:lineRule="auto"/>
              <w:rPr>
                <w:color w:val="000000"/>
              </w:rPr>
            </w:pPr>
            <w:r w:rsidRPr="0021398F">
              <w:rPr>
                <w:color w:val="000000"/>
              </w:rPr>
              <w:t>.62</w:t>
            </w:r>
          </w:p>
        </w:tc>
      </w:tr>
      <w:tr w:rsidR="00935CA9" w:rsidRPr="0021398F" w14:paraId="0A4A59D7" w14:textId="77777777" w:rsidTr="00F866EA">
        <w:trPr>
          <w:trHeight w:val="299"/>
        </w:trPr>
        <w:tc>
          <w:tcPr>
            <w:tcW w:w="1923" w:type="dxa"/>
            <w:tcBorders>
              <w:top w:val="nil"/>
              <w:left w:val="nil"/>
              <w:bottom w:val="nil"/>
              <w:right w:val="nil"/>
            </w:tcBorders>
            <w:shd w:val="clear" w:color="auto" w:fill="auto"/>
            <w:noWrap/>
            <w:vAlign w:val="bottom"/>
            <w:hideMark/>
          </w:tcPr>
          <w:p w14:paraId="25FFAD24" w14:textId="77777777" w:rsidR="00935CA9" w:rsidRPr="0021398F" w:rsidRDefault="00935CA9" w:rsidP="00935CA9">
            <w:pPr>
              <w:spacing w:after="0" w:line="240" w:lineRule="auto"/>
              <w:jc w:val="left"/>
              <w:rPr>
                <w:color w:val="000000"/>
              </w:rPr>
            </w:pPr>
            <w:r w:rsidRPr="0021398F">
              <w:rPr>
                <w:color w:val="000000"/>
              </w:rPr>
              <w:t>Nigeria</w:t>
            </w:r>
          </w:p>
        </w:tc>
        <w:tc>
          <w:tcPr>
            <w:tcW w:w="1317" w:type="dxa"/>
            <w:tcBorders>
              <w:top w:val="nil"/>
              <w:left w:val="nil"/>
              <w:bottom w:val="nil"/>
              <w:right w:val="nil"/>
            </w:tcBorders>
            <w:shd w:val="clear" w:color="auto" w:fill="auto"/>
            <w:noWrap/>
            <w:vAlign w:val="bottom"/>
            <w:hideMark/>
          </w:tcPr>
          <w:p w14:paraId="5CA20C9A" w14:textId="1607E300" w:rsidR="00935CA9" w:rsidRPr="0021398F" w:rsidRDefault="00935CA9" w:rsidP="00935CA9">
            <w:pPr>
              <w:spacing w:after="0" w:line="240" w:lineRule="auto"/>
              <w:rPr>
                <w:color w:val="000000"/>
              </w:rPr>
            </w:pPr>
            <w:r>
              <w:rPr>
                <w:color w:val="000000"/>
              </w:rPr>
              <w:t>.74</w:t>
            </w:r>
          </w:p>
        </w:tc>
        <w:tc>
          <w:tcPr>
            <w:tcW w:w="1350" w:type="dxa"/>
            <w:tcBorders>
              <w:top w:val="nil"/>
              <w:left w:val="nil"/>
              <w:bottom w:val="nil"/>
              <w:right w:val="nil"/>
            </w:tcBorders>
            <w:shd w:val="clear" w:color="auto" w:fill="auto"/>
            <w:noWrap/>
            <w:vAlign w:val="bottom"/>
            <w:hideMark/>
          </w:tcPr>
          <w:p w14:paraId="4FCA5792" w14:textId="5F23A537" w:rsidR="00935CA9" w:rsidRPr="0021398F" w:rsidRDefault="00935CA9" w:rsidP="00935CA9">
            <w:pPr>
              <w:spacing w:after="0" w:line="240" w:lineRule="auto"/>
              <w:rPr>
                <w:color w:val="000000"/>
              </w:rPr>
            </w:pPr>
            <w:r>
              <w:rPr>
                <w:color w:val="000000"/>
              </w:rPr>
              <w:t>.48</w:t>
            </w:r>
          </w:p>
        </w:tc>
        <w:tc>
          <w:tcPr>
            <w:tcW w:w="1440" w:type="dxa"/>
            <w:tcBorders>
              <w:top w:val="nil"/>
              <w:left w:val="nil"/>
              <w:bottom w:val="nil"/>
              <w:right w:val="nil"/>
            </w:tcBorders>
            <w:shd w:val="clear" w:color="auto" w:fill="auto"/>
            <w:noWrap/>
            <w:vAlign w:val="center"/>
            <w:hideMark/>
          </w:tcPr>
          <w:p w14:paraId="208E5DE6" w14:textId="77777777" w:rsidR="00935CA9" w:rsidRPr="0021398F" w:rsidRDefault="00935CA9" w:rsidP="00935CA9">
            <w:pPr>
              <w:spacing w:after="0" w:line="240" w:lineRule="auto"/>
              <w:rPr>
                <w:color w:val="000000"/>
              </w:rPr>
            </w:pPr>
            <w:r w:rsidRPr="0021398F">
              <w:rPr>
                <w:color w:val="000000"/>
              </w:rPr>
              <w:t>.58</w:t>
            </w:r>
          </w:p>
        </w:tc>
        <w:tc>
          <w:tcPr>
            <w:tcW w:w="1379" w:type="dxa"/>
            <w:tcBorders>
              <w:top w:val="nil"/>
              <w:left w:val="nil"/>
              <w:bottom w:val="nil"/>
              <w:right w:val="nil"/>
            </w:tcBorders>
            <w:shd w:val="clear" w:color="auto" w:fill="auto"/>
            <w:noWrap/>
            <w:vAlign w:val="bottom"/>
            <w:hideMark/>
          </w:tcPr>
          <w:p w14:paraId="10B4FC93" w14:textId="77777777" w:rsidR="00935CA9" w:rsidRPr="0021398F" w:rsidRDefault="00935CA9" w:rsidP="00935CA9">
            <w:pPr>
              <w:spacing w:after="0" w:line="240" w:lineRule="auto"/>
              <w:rPr>
                <w:color w:val="000000"/>
              </w:rPr>
            </w:pPr>
            <w:r w:rsidRPr="0021398F">
              <w:rPr>
                <w:color w:val="000000"/>
              </w:rPr>
              <w:t>.48</w:t>
            </w:r>
          </w:p>
        </w:tc>
      </w:tr>
      <w:tr w:rsidR="00935CA9" w:rsidRPr="0021398F" w14:paraId="4C842398" w14:textId="77777777" w:rsidTr="00F866EA">
        <w:trPr>
          <w:trHeight w:val="299"/>
        </w:trPr>
        <w:tc>
          <w:tcPr>
            <w:tcW w:w="1923" w:type="dxa"/>
            <w:tcBorders>
              <w:top w:val="nil"/>
              <w:left w:val="nil"/>
              <w:bottom w:val="nil"/>
              <w:right w:val="nil"/>
            </w:tcBorders>
            <w:shd w:val="clear" w:color="auto" w:fill="auto"/>
            <w:noWrap/>
            <w:vAlign w:val="bottom"/>
            <w:hideMark/>
          </w:tcPr>
          <w:p w14:paraId="616536B0" w14:textId="77777777" w:rsidR="00935CA9" w:rsidRPr="0021398F" w:rsidRDefault="00935CA9" w:rsidP="00935CA9">
            <w:pPr>
              <w:spacing w:after="0" w:line="240" w:lineRule="auto"/>
              <w:jc w:val="left"/>
              <w:rPr>
                <w:color w:val="000000"/>
              </w:rPr>
            </w:pPr>
            <w:r w:rsidRPr="0021398F">
              <w:rPr>
                <w:color w:val="000000"/>
              </w:rPr>
              <w:t>Norway</w:t>
            </w:r>
          </w:p>
        </w:tc>
        <w:tc>
          <w:tcPr>
            <w:tcW w:w="1317" w:type="dxa"/>
            <w:tcBorders>
              <w:top w:val="nil"/>
              <w:left w:val="nil"/>
              <w:bottom w:val="nil"/>
              <w:right w:val="nil"/>
            </w:tcBorders>
            <w:shd w:val="clear" w:color="auto" w:fill="auto"/>
            <w:noWrap/>
            <w:vAlign w:val="bottom"/>
            <w:hideMark/>
          </w:tcPr>
          <w:p w14:paraId="02EFF6E0" w14:textId="4F5DE1BD"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4ADEA94B" w14:textId="335D82D5" w:rsidR="00935CA9" w:rsidRPr="0021398F" w:rsidRDefault="00935CA9" w:rsidP="00935CA9">
            <w:pPr>
              <w:spacing w:after="0" w:line="240" w:lineRule="auto"/>
              <w:rPr>
                <w:color w:val="000000"/>
              </w:rPr>
            </w:pPr>
            <w:r>
              <w:rPr>
                <w:color w:val="000000"/>
              </w:rPr>
              <w:t>.85</w:t>
            </w:r>
          </w:p>
        </w:tc>
        <w:tc>
          <w:tcPr>
            <w:tcW w:w="1440" w:type="dxa"/>
            <w:tcBorders>
              <w:top w:val="nil"/>
              <w:left w:val="nil"/>
              <w:bottom w:val="nil"/>
              <w:right w:val="nil"/>
            </w:tcBorders>
            <w:shd w:val="clear" w:color="auto" w:fill="auto"/>
            <w:noWrap/>
            <w:vAlign w:val="center"/>
            <w:hideMark/>
          </w:tcPr>
          <w:p w14:paraId="5B118BBF" w14:textId="77777777" w:rsidR="00935CA9" w:rsidRPr="0021398F" w:rsidRDefault="00935CA9" w:rsidP="00935CA9">
            <w:pPr>
              <w:spacing w:after="0" w:line="240" w:lineRule="auto"/>
              <w:rPr>
                <w:color w:val="000000"/>
              </w:rPr>
            </w:pPr>
            <w:r w:rsidRPr="0021398F">
              <w:rPr>
                <w:color w:val="000000"/>
              </w:rPr>
              <w:t>.85</w:t>
            </w:r>
          </w:p>
        </w:tc>
        <w:tc>
          <w:tcPr>
            <w:tcW w:w="1379" w:type="dxa"/>
            <w:tcBorders>
              <w:top w:val="nil"/>
              <w:left w:val="nil"/>
              <w:bottom w:val="nil"/>
              <w:right w:val="nil"/>
            </w:tcBorders>
            <w:shd w:val="clear" w:color="auto" w:fill="auto"/>
            <w:noWrap/>
            <w:vAlign w:val="bottom"/>
            <w:hideMark/>
          </w:tcPr>
          <w:p w14:paraId="4B2B05A3" w14:textId="77777777" w:rsidR="00935CA9" w:rsidRPr="0021398F" w:rsidRDefault="00935CA9" w:rsidP="00935CA9">
            <w:pPr>
              <w:spacing w:after="0" w:line="240" w:lineRule="auto"/>
              <w:rPr>
                <w:color w:val="000000"/>
              </w:rPr>
            </w:pPr>
            <w:r w:rsidRPr="0021398F">
              <w:rPr>
                <w:color w:val="000000"/>
              </w:rPr>
              <w:t>.68</w:t>
            </w:r>
          </w:p>
        </w:tc>
      </w:tr>
      <w:tr w:rsidR="00935CA9" w:rsidRPr="0021398F" w14:paraId="06960D0E" w14:textId="77777777" w:rsidTr="00F866EA">
        <w:trPr>
          <w:trHeight w:val="299"/>
        </w:trPr>
        <w:tc>
          <w:tcPr>
            <w:tcW w:w="1923" w:type="dxa"/>
            <w:tcBorders>
              <w:top w:val="nil"/>
              <w:left w:val="nil"/>
              <w:bottom w:val="nil"/>
              <w:right w:val="nil"/>
            </w:tcBorders>
            <w:shd w:val="clear" w:color="auto" w:fill="auto"/>
            <w:noWrap/>
            <w:vAlign w:val="bottom"/>
            <w:hideMark/>
          </w:tcPr>
          <w:p w14:paraId="04564ED8" w14:textId="77777777" w:rsidR="00935CA9" w:rsidRPr="0021398F" w:rsidRDefault="00935CA9" w:rsidP="00935CA9">
            <w:pPr>
              <w:spacing w:after="0" w:line="240" w:lineRule="auto"/>
              <w:jc w:val="left"/>
              <w:rPr>
                <w:color w:val="000000"/>
              </w:rPr>
            </w:pPr>
            <w:r w:rsidRPr="0021398F">
              <w:rPr>
                <w:color w:val="000000"/>
              </w:rPr>
              <w:t>Pakistan</w:t>
            </w:r>
          </w:p>
        </w:tc>
        <w:tc>
          <w:tcPr>
            <w:tcW w:w="1317" w:type="dxa"/>
            <w:tcBorders>
              <w:top w:val="nil"/>
              <w:left w:val="nil"/>
              <w:bottom w:val="nil"/>
              <w:right w:val="nil"/>
            </w:tcBorders>
            <w:shd w:val="clear" w:color="auto" w:fill="auto"/>
            <w:noWrap/>
            <w:vAlign w:val="bottom"/>
            <w:hideMark/>
          </w:tcPr>
          <w:p w14:paraId="7E1B7906" w14:textId="157AF926" w:rsidR="00935CA9" w:rsidRPr="0021398F" w:rsidRDefault="00935CA9" w:rsidP="00935CA9">
            <w:pPr>
              <w:spacing w:after="0" w:line="240" w:lineRule="auto"/>
              <w:rPr>
                <w:color w:val="000000"/>
              </w:rPr>
            </w:pPr>
            <w:r>
              <w:rPr>
                <w:color w:val="000000"/>
              </w:rPr>
              <w:t>.68</w:t>
            </w:r>
          </w:p>
        </w:tc>
        <w:tc>
          <w:tcPr>
            <w:tcW w:w="1350" w:type="dxa"/>
            <w:tcBorders>
              <w:top w:val="nil"/>
              <w:left w:val="nil"/>
              <w:bottom w:val="nil"/>
              <w:right w:val="nil"/>
            </w:tcBorders>
            <w:shd w:val="clear" w:color="auto" w:fill="auto"/>
            <w:noWrap/>
            <w:vAlign w:val="bottom"/>
            <w:hideMark/>
          </w:tcPr>
          <w:p w14:paraId="7EFEE319" w14:textId="77A8FF4B" w:rsidR="00935CA9" w:rsidRPr="0021398F" w:rsidRDefault="00935CA9" w:rsidP="00935CA9">
            <w:pPr>
              <w:spacing w:after="0" w:line="240" w:lineRule="auto"/>
              <w:rPr>
                <w:color w:val="000000"/>
              </w:rPr>
            </w:pPr>
            <w:r>
              <w:rPr>
                <w:color w:val="000000"/>
              </w:rPr>
              <w:t>.37</w:t>
            </w:r>
          </w:p>
        </w:tc>
        <w:tc>
          <w:tcPr>
            <w:tcW w:w="1440" w:type="dxa"/>
            <w:tcBorders>
              <w:top w:val="nil"/>
              <w:left w:val="nil"/>
              <w:bottom w:val="nil"/>
              <w:right w:val="nil"/>
            </w:tcBorders>
            <w:shd w:val="clear" w:color="auto" w:fill="auto"/>
            <w:noWrap/>
            <w:vAlign w:val="center"/>
            <w:hideMark/>
          </w:tcPr>
          <w:p w14:paraId="135B231B" w14:textId="77777777" w:rsidR="00935CA9" w:rsidRPr="0021398F" w:rsidRDefault="00935CA9" w:rsidP="00935CA9">
            <w:pPr>
              <w:spacing w:after="0" w:line="240" w:lineRule="auto"/>
              <w:rPr>
                <w:color w:val="000000"/>
              </w:rPr>
            </w:pPr>
            <w:r w:rsidRPr="0021398F">
              <w:rPr>
                <w:color w:val="000000"/>
              </w:rPr>
              <w:t>.39</w:t>
            </w:r>
          </w:p>
        </w:tc>
        <w:tc>
          <w:tcPr>
            <w:tcW w:w="1379" w:type="dxa"/>
            <w:tcBorders>
              <w:top w:val="nil"/>
              <w:left w:val="nil"/>
              <w:bottom w:val="nil"/>
              <w:right w:val="nil"/>
            </w:tcBorders>
            <w:shd w:val="clear" w:color="auto" w:fill="auto"/>
            <w:noWrap/>
            <w:vAlign w:val="bottom"/>
            <w:hideMark/>
          </w:tcPr>
          <w:p w14:paraId="2A5E8160" w14:textId="77777777" w:rsidR="00935CA9" w:rsidRPr="0021398F" w:rsidRDefault="00935CA9" w:rsidP="00935CA9">
            <w:pPr>
              <w:spacing w:after="0" w:line="240" w:lineRule="auto"/>
              <w:rPr>
                <w:color w:val="000000"/>
              </w:rPr>
            </w:pPr>
            <w:r w:rsidRPr="0021398F">
              <w:rPr>
                <w:color w:val="000000"/>
              </w:rPr>
              <w:t>.48</w:t>
            </w:r>
          </w:p>
        </w:tc>
      </w:tr>
      <w:tr w:rsidR="00935CA9" w:rsidRPr="0021398F" w14:paraId="34C06104" w14:textId="77777777" w:rsidTr="00F866EA">
        <w:trPr>
          <w:trHeight w:val="299"/>
        </w:trPr>
        <w:tc>
          <w:tcPr>
            <w:tcW w:w="1923" w:type="dxa"/>
            <w:tcBorders>
              <w:top w:val="nil"/>
              <w:left w:val="nil"/>
              <w:bottom w:val="nil"/>
              <w:right w:val="nil"/>
            </w:tcBorders>
            <w:shd w:val="clear" w:color="auto" w:fill="auto"/>
            <w:noWrap/>
            <w:vAlign w:val="bottom"/>
            <w:hideMark/>
          </w:tcPr>
          <w:p w14:paraId="457F8902" w14:textId="77777777" w:rsidR="00935CA9" w:rsidRPr="0021398F" w:rsidRDefault="00935CA9" w:rsidP="00935CA9">
            <w:pPr>
              <w:spacing w:after="0" w:line="240" w:lineRule="auto"/>
              <w:jc w:val="left"/>
              <w:rPr>
                <w:color w:val="000000"/>
              </w:rPr>
            </w:pPr>
            <w:r w:rsidRPr="0021398F">
              <w:rPr>
                <w:color w:val="000000"/>
              </w:rPr>
              <w:t>Palestine</w:t>
            </w:r>
          </w:p>
        </w:tc>
        <w:tc>
          <w:tcPr>
            <w:tcW w:w="1317" w:type="dxa"/>
            <w:tcBorders>
              <w:top w:val="nil"/>
              <w:left w:val="nil"/>
              <w:bottom w:val="nil"/>
              <w:right w:val="nil"/>
            </w:tcBorders>
            <w:shd w:val="clear" w:color="auto" w:fill="auto"/>
            <w:noWrap/>
            <w:vAlign w:val="bottom"/>
            <w:hideMark/>
          </w:tcPr>
          <w:p w14:paraId="48B7F109" w14:textId="1A23EDF6" w:rsidR="00935CA9" w:rsidRPr="0021398F" w:rsidRDefault="00935CA9" w:rsidP="00935CA9">
            <w:pPr>
              <w:spacing w:after="0" w:line="240" w:lineRule="auto"/>
              <w:rPr>
                <w:color w:val="000000"/>
              </w:rPr>
            </w:pPr>
            <w:r>
              <w:rPr>
                <w:color w:val="000000"/>
              </w:rPr>
              <w:t>.70</w:t>
            </w:r>
          </w:p>
        </w:tc>
        <w:tc>
          <w:tcPr>
            <w:tcW w:w="1350" w:type="dxa"/>
            <w:tcBorders>
              <w:top w:val="nil"/>
              <w:left w:val="nil"/>
              <w:bottom w:val="nil"/>
              <w:right w:val="nil"/>
            </w:tcBorders>
            <w:shd w:val="clear" w:color="auto" w:fill="auto"/>
            <w:noWrap/>
            <w:vAlign w:val="bottom"/>
            <w:hideMark/>
          </w:tcPr>
          <w:p w14:paraId="53A6C1E8" w14:textId="03B13BC1" w:rsidR="00935CA9" w:rsidRPr="0021398F" w:rsidRDefault="00935CA9" w:rsidP="00935CA9">
            <w:pPr>
              <w:spacing w:after="0" w:line="240" w:lineRule="auto"/>
              <w:rPr>
                <w:color w:val="000000"/>
              </w:rPr>
            </w:pPr>
            <w:r>
              <w:rPr>
                <w:color w:val="000000"/>
              </w:rPr>
              <w:t>.01</w:t>
            </w:r>
          </w:p>
        </w:tc>
        <w:tc>
          <w:tcPr>
            <w:tcW w:w="1440" w:type="dxa"/>
            <w:tcBorders>
              <w:top w:val="nil"/>
              <w:left w:val="nil"/>
              <w:bottom w:val="nil"/>
              <w:right w:val="nil"/>
            </w:tcBorders>
            <w:shd w:val="clear" w:color="auto" w:fill="auto"/>
            <w:noWrap/>
            <w:vAlign w:val="center"/>
            <w:hideMark/>
          </w:tcPr>
          <w:p w14:paraId="3F69C0BE" w14:textId="77777777" w:rsidR="00935CA9" w:rsidRPr="0021398F" w:rsidRDefault="00935CA9" w:rsidP="00935CA9">
            <w:pPr>
              <w:spacing w:after="0" w:line="240" w:lineRule="auto"/>
              <w:rPr>
                <w:color w:val="000000"/>
              </w:rPr>
            </w:pPr>
            <w:r w:rsidRPr="0021398F">
              <w:rPr>
                <w:color w:val="000000"/>
              </w:rPr>
              <w:t>.58</w:t>
            </w:r>
          </w:p>
        </w:tc>
        <w:tc>
          <w:tcPr>
            <w:tcW w:w="1379" w:type="dxa"/>
            <w:tcBorders>
              <w:top w:val="nil"/>
              <w:left w:val="nil"/>
              <w:bottom w:val="nil"/>
              <w:right w:val="nil"/>
            </w:tcBorders>
            <w:shd w:val="clear" w:color="auto" w:fill="auto"/>
            <w:noWrap/>
            <w:vAlign w:val="bottom"/>
            <w:hideMark/>
          </w:tcPr>
          <w:p w14:paraId="5713FC3C" w14:textId="77777777" w:rsidR="00935CA9" w:rsidRPr="0021398F" w:rsidRDefault="00935CA9" w:rsidP="00935CA9">
            <w:pPr>
              <w:spacing w:after="0" w:line="240" w:lineRule="auto"/>
              <w:rPr>
                <w:color w:val="000000"/>
              </w:rPr>
            </w:pPr>
            <w:r w:rsidRPr="0021398F">
              <w:rPr>
                <w:color w:val="000000"/>
              </w:rPr>
              <w:t>.42</w:t>
            </w:r>
          </w:p>
        </w:tc>
      </w:tr>
      <w:tr w:rsidR="00935CA9" w:rsidRPr="0021398F" w14:paraId="7769EDC1" w14:textId="77777777" w:rsidTr="00F866EA">
        <w:trPr>
          <w:trHeight w:val="299"/>
        </w:trPr>
        <w:tc>
          <w:tcPr>
            <w:tcW w:w="1923" w:type="dxa"/>
            <w:tcBorders>
              <w:top w:val="nil"/>
              <w:left w:val="nil"/>
              <w:bottom w:val="nil"/>
              <w:right w:val="nil"/>
            </w:tcBorders>
            <w:shd w:val="clear" w:color="auto" w:fill="auto"/>
            <w:noWrap/>
            <w:vAlign w:val="bottom"/>
            <w:hideMark/>
          </w:tcPr>
          <w:p w14:paraId="53569A6A" w14:textId="77777777" w:rsidR="00935CA9" w:rsidRPr="0021398F" w:rsidRDefault="00935CA9" w:rsidP="00935CA9">
            <w:pPr>
              <w:spacing w:after="0" w:line="240" w:lineRule="auto"/>
              <w:jc w:val="left"/>
              <w:rPr>
                <w:color w:val="000000"/>
              </w:rPr>
            </w:pPr>
            <w:r w:rsidRPr="0021398F">
              <w:rPr>
                <w:color w:val="000000"/>
              </w:rPr>
              <w:t>Peru</w:t>
            </w:r>
          </w:p>
        </w:tc>
        <w:tc>
          <w:tcPr>
            <w:tcW w:w="1317" w:type="dxa"/>
            <w:tcBorders>
              <w:top w:val="nil"/>
              <w:left w:val="nil"/>
              <w:bottom w:val="nil"/>
              <w:right w:val="nil"/>
            </w:tcBorders>
            <w:shd w:val="clear" w:color="auto" w:fill="auto"/>
            <w:noWrap/>
            <w:vAlign w:val="bottom"/>
            <w:hideMark/>
          </w:tcPr>
          <w:p w14:paraId="3C6EA4AE" w14:textId="37496ECE" w:rsidR="00935CA9" w:rsidRPr="0021398F" w:rsidRDefault="00935CA9" w:rsidP="00935CA9">
            <w:pPr>
              <w:spacing w:after="0" w:line="240" w:lineRule="auto"/>
              <w:rPr>
                <w:color w:val="000000"/>
              </w:rPr>
            </w:pPr>
            <w:r>
              <w:rPr>
                <w:color w:val="000000"/>
              </w:rPr>
              <w:t>.90</w:t>
            </w:r>
          </w:p>
        </w:tc>
        <w:tc>
          <w:tcPr>
            <w:tcW w:w="1350" w:type="dxa"/>
            <w:tcBorders>
              <w:top w:val="nil"/>
              <w:left w:val="nil"/>
              <w:bottom w:val="nil"/>
              <w:right w:val="nil"/>
            </w:tcBorders>
            <w:shd w:val="clear" w:color="auto" w:fill="auto"/>
            <w:noWrap/>
            <w:vAlign w:val="bottom"/>
            <w:hideMark/>
          </w:tcPr>
          <w:p w14:paraId="7BB08EAF" w14:textId="6A7E696E" w:rsidR="00935CA9" w:rsidRPr="0021398F" w:rsidRDefault="00935CA9" w:rsidP="00935CA9">
            <w:pPr>
              <w:spacing w:after="0" w:line="240" w:lineRule="auto"/>
              <w:rPr>
                <w:color w:val="000000"/>
              </w:rPr>
            </w:pPr>
            <w:r>
              <w:rPr>
                <w:color w:val="000000"/>
              </w:rPr>
              <w:t>.88</w:t>
            </w:r>
          </w:p>
        </w:tc>
        <w:tc>
          <w:tcPr>
            <w:tcW w:w="1440" w:type="dxa"/>
            <w:tcBorders>
              <w:top w:val="nil"/>
              <w:left w:val="nil"/>
              <w:bottom w:val="nil"/>
              <w:right w:val="nil"/>
            </w:tcBorders>
            <w:shd w:val="clear" w:color="auto" w:fill="auto"/>
            <w:noWrap/>
            <w:vAlign w:val="center"/>
            <w:hideMark/>
          </w:tcPr>
          <w:p w14:paraId="3F5EC9DC" w14:textId="77777777" w:rsidR="00935CA9" w:rsidRPr="0021398F" w:rsidRDefault="00935CA9" w:rsidP="00935CA9">
            <w:pPr>
              <w:spacing w:after="0" w:line="240" w:lineRule="auto"/>
              <w:rPr>
                <w:color w:val="000000"/>
              </w:rPr>
            </w:pPr>
            <w:r w:rsidRPr="0021398F">
              <w:rPr>
                <w:color w:val="000000"/>
              </w:rPr>
              <w:t>.88</w:t>
            </w:r>
          </w:p>
        </w:tc>
        <w:tc>
          <w:tcPr>
            <w:tcW w:w="1379" w:type="dxa"/>
            <w:tcBorders>
              <w:top w:val="nil"/>
              <w:left w:val="nil"/>
              <w:bottom w:val="nil"/>
              <w:right w:val="nil"/>
            </w:tcBorders>
            <w:shd w:val="clear" w:color="auto" w:fill="auto"/>
            <w:noWrap/>
            <w:vAlign w:val="bottom"/>
            <w:hideMark/>
          </w:tcPr>
          <w:p w14:paraId="3272C12F" w14:textId="77777777" w:rsidR="00935CA9" w:rsidRPr="0021398F" w:rsidRDefault="00935CA9" w:rsidP="00935CA9">
            <w:pPr>
              <w:spacing w:after="0" w:line="240" w:lineRule="auto"/>
              <w:rPr>
                <w:color w:val="000000"/>
              </w:rPr>
            </w:pPr>
            <w:r w:rsidRPr="0021398F">
              <w:rPr>
                <w:color w:val="000000"/>
              </w:rPr>
              <w:t>.71</w:t>
            </w:r>
          </w:p>
        </w:tc>
      </w:tr>
      <w:tr w:rsidR="00935CA9" w:rsidRPr="0021398F" w14:paraId="1F2045EB" w14:textId="77777777" w:rsidTr="00F866EA">
        <w:trPr>
          <w:trHeight w:val="299"/>
        </w:trPr>
        <w:tc>
          <w:tcPr>
            <w:tcW w:w="1923" w:type="dxa"/>
            <w:tcBorders>
              <w:top w:val="nil"/>
              <w:left w:val="nil"/>
              <w:bottom w:val="nil"/>
              <w:right w:val="nil"/>
            </w:tcBorders>
            <w:shd w:val="clear" w:color="auto" w:fill="auto"/>
            <w:noWrap/>
            <w:vAlign w:val="bottom"/>
            <w:hideMark/>
          </w:tcPr>
          <w:p w14:paraId="35D30278" w14:textId="77777777" w:rsidR="00935CA9" w:rsidRPr="0021398F" w:rsidRDefault="00935CA9" w:rsidP="00935CA9">
            <w:pPr>
              <w:spacing w:after="0" w:line="240" w:lineRule="auto"/>
              <w:jc w:val="left"/>
              <w:rPr>
                <w:color w:val="000000"/>
              </w:rPr>
            </w:pPr>
            <w:r w:rsidRPr="0021398F">
              <w:rPr>
                <w:color w:val="000000"/>
              </w:rPr>
              <w:t>Philippines</w:t>
            </w:r>
          </w:p>
        </w:tc>
        <w:tc>
          <w:tcPr>
            <w:tcW w:w="1317" w:type="dxa"/>
            <w:tcBorders>
              <w:top w:val="nil"/>
              <w:left w:val="nil"/>
              <w:bottom w:val="nil"/>
              <w:right w:val="nil"/>
            </w:tcBorders>
            <w:shd w:val="clear" w:color="auto" w:fill="auto"/>
            <w:noWrap/>
            <w:vAlign w:val="bottom"/>
            <w:hideMark/>
          </w:tcPr>
          <w:p w14:paraId="7B128B15" w14:textId="26A386A1" w:rsidR="00935CA9" w:rsidRPr="0021398F" w:rsidRDefault="00935CA9" w:rsidP="00935CA9">
            <w:pPr>
              <w:spacing w:after="0" w:line="240" w:lineRule="auto"/>
              <w:rPr>
                <w:color w:val="000000"/>
              </w:rPr>
            </w:pPr>
            <w:r>
              <w:rPr>
                <w:color w:val="000000"/>
              </w:rPr>
              <w:t>.83</w:t>
            </w:r>
          </w:p>
        </w:tc>
        <w:tc>
          <w:tcPr>
            <w:tcW w:w="1350" w:type="dxa"/>
            <w:tcBorders>
              <w:top w:val="nil"/>
              <w:left w:val="nil"/>
              <w:bottom w:val="nil"/>
              <w:right w:val="nil"/>
            </w:tcBorders>
            <w:shd w:val="clear" w:color="auto" w:fill="auto"/>
            <w:noWrap/>
            <w:vAlign w:val="bottom"/>
            <w:hideMark/>
          </w:tcPr>
          <w:p w14:paraId="116EAE80" w14:textId="1B784B22" w:rsidR="00935CA9" w:rsidRPr="0021398F" w:rsidRDefault="00935CA9" w:rsidP="00935CA9">
            <w:pPr>
              <w:spacing w:after="0" w:line="240" w:lineRule="auto"/>
              <w:rPr>
                <w:color w:val="000000"/>
              </w:rPr>
            </w:pPr>
            <w:r>
              <w:rPr>
                <w:color w:val="000000"/>
              </w:rPr>
              <w:t>.08</w:t>
            </w:r>
          </w:p>
        </w:tc>
        <w:tc>
          <w:tcPr>
            <w:tcW w:w="1440" w:type="dxa"/>
            <w:tcBorders>
              <w:top w:val="nil"/>
              <w:left w:val="nil"/>
              <w:bottom w:val="nil"/>
              <w:right w:val="nil"/>
            </w:tcBorders>
            <w:shd w:val="clear" w:color="auto" w:fill="auto"/>
            <w:noWrap/>
            <w:vAlign w:val="center"/>
            <w:hideMark/>
          </w:tcPr>
          <w:p w14:paraId="5E29205E" w14:textId="77777777" w:rsidR="00935CA9" w:rsidRPr="0021398F" w:rsidRDefault="00935CA9" w:rsidP="00935CA9">
            <w:pPr>
              <w:spacing w:after="0" w:line="240" w:lineRule="auto"/>
              <w:rPr>
                <w:color w:val="000000"/>
              </w:rPr>
            </w:pPr>
            <w:r w:rsidRPr="0021398F">
              <w:rPr>
                <w:color w:val="000000"/>
              </w:rPr>
              <w:t>.79</w:t>
            </w:r>
          </w:p>
        </w:tc>
        <w:tc>
          <w:tcPr>
            <w:tcW w:w="1379" w:type="dxa"/>
            <w:tcBorders>
              <w:top w:val="nil"/>
              <w:left w:val="nil"/>
              <w:bottom w:val="nil"/>
              <w:right w:val="nil"/>
            </w:tcBorders>
            <w:shd w:val="clear" w:color="auto" w:fill="auto"/>
            <w:noWrap/>
            <w:vAlign w:val="bottom"/>
            <w:hideMark/>
          </w:tcPr>
          <w:p w14:paraId="6ACB9501" w14:textId="77777777" w:rsidR="00935CA9" w:rsidRPr="0021398F" w:rsidRDefault="00935CA9" w:rsidP="00935CA9">
            <w:pPr>
              <w:spacing w:after="0" w:line="240" w:lineRule="auto"/>
              <w:rPr>
                <w:color w:val="000000"/>
              </w:rPr>
            </w:pPr>
            <w:r w:rsidRPr="0021398F">
              <w:rPr>
                <w:color w:val="000000"/>
              </w:rPr>
              <w:t>.57</w:t>
            </w:r>
          </w:p>
        </w:tc>
      </w:tr>
      <w:tr w:rsidR="00935CA9" w:rsidRPr="0021398F" w14:paraId="5F1294EA" w14:textId="77777777" w:rsidTr="00F866EA">
        <w:trPr>
          <w:trHeight w:val="299"/>
        </w:trPr>
        <w:tc>
          <w:tcPr>
            <w:tcW w:w="1923" w:type="dxa"/>
            <w:tcBorders>
              <w:top w:val="nil"/>
              <w:left w:val="nil"/>
              <w:bottom w:val="nil"/>
              <w:right w:val="nil"/>
            </w:tcBorders>
            <w:shd w:val="clear" w:color="auto" w:fill="auto"/>
            <w:noWrap/>
            <w:vAlign w:val="bottom"/>
            <w:hideMark/>
          </w:tcPr>
          <w:p w14:paraId="34271A45" w14:textId="77777777" w:rsidR="00935CA9" w:rsidRPr="0021398F" w:rsidRDefault="00935CA9" w:rsidP="00935CA9">
            <w:pPr>
              <w:spacing w:after="0" w:line="240" w:lineRule="auto"/>
              <w:jc w:val="left"/>
              <w:rPr>
                <w:color w:val="000000"/>
              </w:rPr>
            </w:pPr>
            <w:r w:rsidRPr="0021398F">
              <w:rPr>
                <w:color w:val="000000"/>
              </w:rPr>
              <w:t>Poland</w:t>
            </w:r>
          </w:p>
        </w:tc>
        <w:tc>
          <w:tcPr>
            <w:tcW w:w="1317" w:type="dxa"/>
            <w:tcBorders>
              <w:top w:val="nil"/>
              <w:left w:val="nil"/>
              <w:bottom w:val="nil"/>
              <w:right w:val="nil"/>
            </w:tcBorders>
            <w:shd w:val="clear" w:color="auto" w:fill="auto"/>
            <w:noWrap/>
            <w:vAlign w:val="bottom"/>
            <w:hideMark/>
          </w:tcPr>
          <w:p w14:paraId="5B2790FF" w14:textId="795EF097" w:rsidR="00935CA9" w:rsidRPr="0021398F" w:rsidRDefault="00935CA9" w:rsidP="00935CA9">
            <w:pPr>
              <w:spacing w:after="0" w:line="240" w:lineRule="auto"/>
              <w:rPr>
                <w:color w:val="000000"/>
              </w:rPr>
            </w:pPr>
            <w:r>
              <w:rPr>
                <w:color w:val="000000"/>
              </w:rPr>
              <w:t>.90</w:t>
            </w:r>
          </w:p>
        </w:tc>
        <w:tc>
          <w:tcPr>
            <w:tcW w:w="1350" w:type="dxa"/>
            <w:tcBorders>
              <w:top w:val="nil"/>
              <w:left w:val="nil"/>
              <w:bottom w:val="nil"/>
              <w:right w:val="nil"/>
            </w:tcBorders>
            <w:shd w:val="clear" w:color="auto" w:fill="auto"/>
            <w:noWrap/>
            <w:vAlign w:val="bottom"/>
            <w:hideMark/>
          </w:tcPr>
          <w:p w14:paraId="17F26EDD" w14:textId="6C2C8673" w:rsidR="00935CA9" w:rsidRPr="0021398F" w:rsidRDefault="00935CA9" w:rsidP="00935CA9">
            <w:pPr>
              <w:spacing w:after="0" w:line="240" w:lineRule="auto"/>
              <w:rPr>
                <w:color w:val="000000"/>
              </w:rPr>
            </w:pPr>
            <w:r>
              <w:rPr>
                <w:color w:val="000000"/>
              </w:rPr>
              <w:t>.86</w:t>
            </w:r>
          </w:p>
        </w:tc>
        <w:tc>
          <w:tcPr>
            <w:tcW w:w="1440" w:type="dxa"/>
            <w:tcBorders>
              <w:top w:val="nil"/>
              <w:left w:val="nil"/>
              <w:bottom w:val="nil"/>
              <w:right w:val="nil"/>
            </w:tcBorders>
            <w:shd w:val="clear" w:color="auto" w:fill="auto"/>
            <w:noWrap/>
            <w:vAlign w:val="center"/>
            <w:hideMark/>
          </w:tcPr>
          <w:p w14:paraId="4A93E129" w14:textId="77777777" w:rsidR="00935CA9" w:rsidRPr="0021398F" w:rsidRDefault="00935CA9" w:rsidP="00935CA9">
            <w:pPr>
              <w:spacing w:after="0" w:line="240" w:lineRule="auto"/>
              <w:rPr>
                <w:color w:val="000000"/>
              </w:rPr>
            </w:pPr>
            <w:r w:rsidRPr="0021398F">
              <w:rPr>
                <w:color w:val="000000"/>
              </w:rPr>
              <w:t>.85</w:t>
            </w:r>
          </w:p>
        </w:tc>
        <w:tc>
          <w:tcPr>
            <w:tcW w:w="1379" w:type="dxa"/>
            <w:tcBorders>
              <w:top w:val="nil"/>
              <w:left w:val="nil"/>
              <w:bottom w:val="nil"/>
              <w:right w:val="nil"/>
            </w:tcBorders>
            <w:shd w:val="clear" w:color="auto" w:fill="auto"/>
            <w:noWrap/>
            <w:vAlign w:val="bottom"/>
            <w:hideMark/>
          </w:tcPr>
          <w:p w14:paraId="2631C9AC" w14:textId="77777777" w:rsidR="00935CA9" w:rsidRPr="0021398F" w:rsidRDefault="00935CA9" w:rsidP="00935CA9">
            <w:pPr>
              <w:spacing w:after="0" w:line="240" w:lineRule="auto"/>
              <w:rPr>
                <w:color w:val="000000"/>
              </w:rPr>
            </w:pPr>
            <w:r w:rsidRPr="0021398F">
              <w:rPr>
                <w:color w:val="000000"/>
              </w:rPr>
              <w:t>.70</w:t>
            </w:r>
          </w:p>
        </w:tc>
      </w:tr>
      <w:tr w:rsidR="00935CA9" w:rsidRPr="0021398F" w14:paraId="58573B86" w14:textId="77777777" w:rsidTr="00F866EA">
        <w:trPr>
          <w:trHeight w:val="299"/>
        </w:trPr>
        <w:tc>
          <w:tcPr>
            <w:tcW w:w="1923" w:type="dxa"/>
            <w:tcBorders>
              <w:top w:val="nil"/>
              <w:left w:val="nil"/>
              <w:bottom w:val="nil"/>
              <w:right w:val="nil"/>
            </w:tcBorders>
            <w:shd w:val="clear" w:color="auto" w:fill="auto"/>
            <w:noWrap/>
            <w:vAlign w:val="bottom"/>
            <w:hideMark/>
          </w:tcPr>
          <w:p w14:paraId="66E7AF25" w14:textId="77777777" w:rsidR="00935CA9" w:rsidRPr="0021398F" w:rsidRDefault="00935CA9" w:rsidP="00935CA9">
            <w:pPr>
              <w:spacing w:after="0" w:line="240" w:lineRule="auto"/>
              <w:jc w:val="left"/>
              <w:rPr>
                <w:color w:val="000000"/>
              </w:rPr>
            </w:pPr>
            <w:r w:rsidRPr="0021398F">
              <w:rPr>
                <w:color w:val="000000"/>
              </w:rPr>
              <w:t>Portugal</w:t>
            </w:r>
          </w:p>
        </w:tc>
        <w:tc>
          <w:tcPr>
            <w:tcW w:w="1317" w:type="dxa"/>
            <w:tcBorders>
              <w:top w:val="nil"/>
              <w:left w:val="nil"/>
              <w:bottom w:val="nil"/>
              <w:right w:val="nil"/>
            </w:tcBorders>
            <w:shd w:val="clear" w:color="auto" w:fill="auto"/>
            <w:noWrap/>
            <w:vAlign w:val="bottom"/>
            <w:hideMark/>
          </w:tcPr>
          <w:p w14:paraId="61370BFC" w14:textId="30AA2057" w:rsidR="00935CA9" w:rsidRPr="0021398F" w:rsidRDefault="00935CA9" w:rsidP="00935CA9">
            <w:pPr>
              <w:spacing w:after="0" w:line="240" w:lineRule="auto"/>
              <w:rPr>
                <w:color w:val="000000"/>
              </w:rPr>
            </w:pPr>
            <w:r>
              <w:rPr>
                <w:color w:val="000000"/>
              </w:rPr>
              <w:t>.88</w:t>
            </w:r>
          </w:p>
        </w:tc>
        <w:tc>
          <w:tcPr>
            <w:tcW w:w="1350" w:type="dxa"/>
            <w:tcBorders>
              <w:top w:val="nil"/>
              <w:left w:val="nil"/>
              <w:bottom w:val="nil"/>
              <w:right w:val="nil"/>
            </w:tcBorders>
            <w:shd w:val="clear" w:color="auto" w:fill="auto"/>
            <w:noWrap/>
            <w:vAlign w:val="bottom"/>
            <w:hideMark/>
          </w:tcPr>
          <w:p w14:paraId="17D3B1D1" w14:textId="38ED1E47" w:rsidR="00935CA9" w:rsidRPr="0021398F" w:rsidRDefault="00935CA9" w:rsidP="00935CA9">
            <w:pPr>
              <w:spacing w:after="0" w:line="240" w:lineRule="auto"/>
              <w:rPr>
                <w:color w:val="000000"/>
              </w:rPr>
            </w:pPr>
            <w:r>
              <w:rPr>
                <w:color w:val="000000"/>
              </w:rPr>
              <w:t>.79</w:t>
            </w:r>
          </w:p>
        </w:tc>
        <w:tc>
          <w:tcPr>
            <w:tcW w:w="1440" w:type="dxa"/>
            <w:tcBorders>
              <w:top w:val="nil"/>
              <w:left w:val="nil"/>
              <w:bottom w:val="nil"/>
              <w:right w:val="nil"/>
            </w:tcBorders>
            <w:shd w:val="clear" w:color="auto" w:fill="auto"/>
            <w:noWrap/>
            <w:vAlign w:val="center"/>
            <w:hideMark/>
          </w:tcPr>
          <w:p w14:paraId="2F596EA7" w14:textId="77777777" w:rsidR="00935CA9" w:rsidRPr="0021398F" w:rsidRDefault="00935CA9" w:rsidP="00935CA9">
            <w:pPr>
              <w:spacing w:after="0" w:line="240" w:lineRule="auto"/>
              <w:rPr>
                <w:color w:val="000000"/>
              </w:rPr>
            </w:pPr>
            <w:r w:rsidRPr="0021398F">
              <w:rPr>
                <w:color w:val="000000"/>
              </w:rPr>
              <w:t>.79</w:t>
            </w:r>
          </w:p>
        </w:tc>
        <w:tc>
          <w:tcPr>
            <w:tcW w:w="1379" w:type="dxa"/>
            <w:tcBorders>
              <w:top w:val="nil"/>
              <w:left w:val="nil"/>
              <w:bottom w:val="nil"/>
              <w:right w:val="nil"/>
            </w:tcBorders>
            <w:shd w:val="clear" w:color="auto" w:fill="auto"/>
            <w:noWrap/>
            <w:vAlign w:val="bottom"/>
            <w:hideMark/>
          </w:tcPr>
          <w:p w14:paraId="14F6BA56" w14:textId="77777777" w:rsidR="00935CA9" w:rsidRPr="0021398F" w:rsidRDefault="00935CA9" w:rsidP="00935CA9">
            <w:pPr>
              <w:spacing w:after="0" w:line="240" w:lineRule="auto"/>
              <w:rPr>
                <w:color w:val="000000"/>
              </w:rPr>
            </w:pPr>
            <w:r w:rsidRPr="0021398F">
              <w:rPr>
                <w:color w:val="000000"/>
              </w:rPr>
              <w:t>.67</w:t>
            </w:r>
          </w:p>
        </w:tc>
      </w:tr>
      <w:tr w:rsidR="00935CA9" w:rsidRPr="0021398F" w14:paraId="125BE8FC" w14:textId="77777777" w:rsidTr="00F866EA">
        <w:trPr>
          <w:trHeight w:val="299"/>
        </w:trPr>
        <w:tc>
          <w:tcPr>
            <w:tcW w:w="1923" w:type="dxa"/>
            <w:tcBorders>
              <w:top w:val="nil"/>
              <w:left w:val="nil"/>
              <w:bottom w:val="nil"/>
              <w:right w:val="nil"/>
            </w:tcBorders>
            <w:shd w:val="clear" w:color="auto" w:fill="auto"/>
            <w:noWrap/>
            <w:vAlign w:val="bottom"/>
            <w:hideMark/>
          </w:tcPr>
          <w:p w14:paraId="25936C0F" w14:textId="77777777" w:rsidR="00935CA9" w:rsidRPr="0021398F" w:rsidRDefault="00935CA9" w:rsidP="00935CA9">
            <w:pPr>
              <w:spacing w:after="0" w:line="240" w:lineRule="auto"/>
              <w:jc w:val="left"/>
              <w:rPr>
                <w:color w:val="000000"/>
              </w:rPr>
            </w:pPr>
            <w:r w:rsidRPr="0021398F">
              <w:rPr>
                <w:color w:val="000000"/>
              </w:rPr>
              <w:t>Romania</w:t>
            </w:r>
          </w:p>
        </w:tc>
        <w:tc>
          <w:tcPr>
            <w:tcW w:w="1317" w:type="dxa"/>
            <w:tcBorders>
              <w:top w:val="nil"/>
              <w:left w:val="nil"/>
              <w:bottom w:val="nil"/>
              <w:right w:val="nil"/>
            </w:tcBorders>
            <w:shd w:val="clear" w:color="auto" w:fill="auto"/>
            <w:noWrap/>
            <w:vAlign w:val="bottom"/>
            <w:hideMark/>
          </w:tcPr>
          <w:p w14:paraId="23A52FE7" w14:textId="77B5BD40" w:rsidR="00935CA9" w:rsidRPr="0021398F" w:rsidRDefault="00935CA9" w:rsidP="00935CA9">
            <w:pPr>
              <w:spacing w:after="0" w:line="240" w:lineRule="auto"/>
              <w:rPr>
                <w:color w:val="000000"/>
              </w:rPr>
            </w:pPr>
            <w:r>
              <w:rPr>
                <w:color w:val="000000"/>
              </w:rPr>
              <w:t>.86</w:t>
            </w:r>
          </w:p>
        </w:tc>
        <w:tc>
          <w:tcPr>
            <w:tcW w:w="1350" w:type="dxa"/>
            <w:tcBorders>
              <w:top w:val="nil"/>
              <w:left w:val="nil"/>
              <w:bottom w:val="nil"/>
              <w:right w:val="nil"/>
            </w:tcBorders>
            <w:shd w:val="clear" w:color="auto" w:fill="auto"/>
            <w:noWrap/>
            <w:vAlign w:val="bottom"/>
            <w:hideMark/>
          </w:tcPr>
          <w:p w14:paraId="132B6A17" w14:textId="1132562E" w:rsidR="00935CA9" w:rsidRPr="0021398F" w:rsidRDefault="00935CA9" w:rsidP="00935CA9">
            <w:pPr>
              <w:spacing w:after="0" w:line="240" w:lineRule="auto"/>
              <w:rPr>
                <w:color w:val="000000"/>
              </w:rPr>
            </w:pPr>
            <w:r>
              <w:rPr>
                <w:color w:val="000000"/>
              </w:rPr>
              <w:t>.30</w:t>
            </w:r>
          </w:p>
        </w:tc>
        <w:tc>
          <w:tcPr>
            <w:tcW w:w="1440" w:type="dxa"/>
            <w:tcBorders>
              <w:top w:val="nil"/>
              <w:left w:val="nil"/>
              <w:bottom w:val="nil"/>
              <w:right w:val="nil"/>
            </w:tcBorders>
            <w:shd w:val="clear" w:color="auto" w:fill="auto"/>
            <w:noWrap/>
            <w:vAlign w:val="center"/>
            <w:hideMark/>
          </w:tcPr>
          <w:p w14:paraId="0391BE8A" w14:textId="77777777" w:rsidR="00935CA9" w:rsidRPr="0021398F" w:rsidRDefault="00935CA9" w:rsidP="00935CA9">
            <w:pPr>
              <w:spacing w:after="0" w:line="240" w:lineRule="auto"/>
              <w:rPr>
                <w:color w:val="000000"/>
              </w:rPr>
            </w:pPr>
            <w:r w:rsidRPr="0021398F">
              <w:rPr>
                <w:color w:val="000000"/>
              </w:rPr>
              <w:t>.79</w:t>
            </w:r>
          </w:p>
        </w:tc>
        <w:tc>
          <w:tcPr>
            <w:tcW w:w="1379" w:type="dxa"/>
            <w:tcBorders>
              <w:top w:val="nil"/>
              <w:left w:val="nil"/>
              <w:bottom w:val="nil"/>
              <w:right w:val="nil"/>
            </w:tcBorders>
            <w:shd w:val="clear" w:color="auto" w:fill="auto"/>
            <w:noWrap/>
            <w:vAlign w:val="bottom"/>
            <w:hideMark/>
          </w:tcPr>
          <w:p w14:paraId="094760DE" w14:textId="77777777" w:rsidR="00935CA9" w:rsidRPr="0021398F" w:rsidRDefault="00935CA9" w:rsidP="00935CA9">
            <w:pPr>
              <w:spacing w:after="0" w:line="240" w:lineRule="auto"/>
              <w:rPr>
                <w:color w:val="000000"/>
              </w:rPr>
            </w:pPr>
            <w:r w:rsidRPr="0021398F">
              <w:rPr>
                <w:color w:val="000000"/>
              </w:rPr>
              <w:t>.64</w:t>
            </w:r>
          </w:p>
        </w:tc>
      </w:tr>
      <w:tr w:rsidR="00935CA9" w:rsidRPr="0021398F" w14:paraId="12E06659" w14:textId="77777777" w:rsidTr="00F866EA">
        <w:trPr>
          <w:trHeight w:val="299"/>
        </w:trPr>
        <w:tc>
          <w:tcPr>
            <w:tcW w:w="1923" w:type="dxa"/>
            <w:tcBorders>
              <w:top w:val="nil"/>
              <w:left w:val="nil"/>
              <w:bottom w:val="nil"/>
              <w:right w:val="nil"/>
            </w:tcBorders>
            <w:shd w:val="clear" w:color="auto" w:fill="auto"/>
            <w:noWrap/>
            <w:vAlign w:val="bottom"/>
            <w:hideMark/>
          </w:tcPr>
          <w:p w14:paraId="6B05D832" w14:textId="77777777" w:rsidR="00935CA9" w:rsidRPr="0021398F" w:rsidRDefault="00935CA9" w:rsidP="00935CA9">
            <w:pPr>
              <w:spacing w:after="0" w:line="240" w:lineRule="auto"/>
              <w:jc w:val="left"/>
              <w:rPr>
                <w:color w:val="000000"/>
              </w:rPr>
            </w:pPr>
            <w:r w:rsidRPr="0021398F">
              <w:rPr>
                <w:color w:val="000000"/>
              </w:rPr>
              <w:t>Russia</w:t>
            </w:r>
          </w:p>
        </w:tc>
        <w:tc>
          <w:tcPr>
            <w:tcW w:w="1317" w:type="dxa"/>
            <w:tcBorders>
              <w:top w:val="nil"/>
              <w:left w:val="nil"/>
              <w:bottom w:val="nil"/>
              <w:right w:val="nil"/>
            </w:tcBorders>
            <w:shd w:val="clear" w:color="auto" w:fill="auto"/>
            <w:noWrap/>
            <w:vAlign w:val="bottom"/>
            <w:hideMark/>
          </w:tcPr>
          <w:p w14:paraId="5A43EF66" w14:textId="79425BF5" w:rsidR="00935CA9" w:rsidRPr="0021398F" w:rsidRDefault="00935CA9" w:rsidP="00935CA9">
            <w:pPr>
              <w:spacing w:after="0" w:line="240" w:lineRule="auto"/>
              <w:rPr>
                <w:color w:val="000000"/>
              </w:rPr>
            </w:pPr>
            <w:r>
              <w:rPr>
                <w:color w:val="000000"/>
              </w:rPr>
              <w:t>.87</w:t>
            </w:r>
          </w:p>
        </w:tc>
        <w:tc>
          <w:tcPr>
            <w:tcW w:w="1350" w:type="dxa"/>
            <w:tcBorders>
              <w:top w:val="nil"/>
              <w:left w:val="nil"/>
              <w:bottom w:val="nil"/>
              <w:right w:val="nil"/>
            </w:tcBorders>
            <w:shd w:val="clear" w:color="auto" w:fill="auto"/>
            <w:noWrap/>
            <w:vAlign w:val="bottom"/>
            <w:hideMark/>
          </w:tcPr>
          <w:p w14:paraId="7B43F1FF" w14:textId="2C55D1AA" w:rsidR="00935CA9" w:rsidRPr="0021398F" w:rsidRDefault="00935CA9" w:rsidP="00935CA9">
            <w:pPr>
              <w:spacing w:after="0" w:line="240" w:lineRule="auto"/>
              <w:rPr>
                <w:color w:val="000000"/>
              </w:rPr>
            </w:pPr>
            <w:r>
              <w:rPr>
                <w:color w:val="000000"/>
              </w:rPr>
              <w:t>.85</w:t>
            </w:r>
          </w:p>
        </w:tc>
        <w:tc>
          <w:tcPr>
            <w:tcW w:w="1440" w:type="dxa"/>
            <w:tcBorders>
              <w:top w:val="nil"/>
              <w:left w:val="nil"/>
              <w:bottom w:val="nil"/>
              <w:right w:val="nil"/>
            </w:tcBorders>
            <w:shd w:val="clear" w:color="auto" w:fill="auto"/>
            <w:noWrap/>
            <w:vAlign w:val="center"/>
            <w:hideMark/>
          </w:tcPr>
          <w:p w14:paraId="78A7AA96" w14:textId="77777777" w:rsidR="00935CA9" w:rsidRPr="0021398F" w:rsidRDefault="00935CA9" w:rsidP="00935CA9">
            <w:pPr>
              <w:spacing w:after="0" w:line="240" w:lineRule="auto"/>
              <w:rPr>
                <w:color w:val="000000"/>
              </w:rPr>
            </w:pPr>
            <w:r w:rsidRPr="0021398F">
              <w:rPr>
                <w:color w:val="000000"/>
              </w:rPr>
              <w:t>.85</w:t>
            </w:r>
          </w:p>
        </w:tc>
        <w:tc>
          <w:tcPr>
            <w:tcW w:w="1379" w:type="dxa"/>
            <w:tcBorders>
              <w:top w:val="nil"/>
              <w:left w:val="nil"/>
              <w:bottom w:val="nil"/>
              <w:right w:val="nil"/>
            </w:tcBorders>
            <w:shd w:val="clear" w:color="auto" w:fill="auto"/>
            <w:noWrap/>
            <w:vAlign w:val="bottom"/>
            <w:hideMark/>
          </w:tcPr>
          <w:p w14:paraId="53482C82" w14:textId="77777777" w:rsidR="00935CA9" w:rsidRPr="0021398F" w:rsidRDefault="00935CA9" w:rsidP="00935CA9">
            <w:pPr>
              <w:spacing w:after="0" w:line="240" w:lineRule="auto"/>
              <w:rPr>
                <w:color w:val="000000"/>
              </w:rPr>
            </w:pPr>
            <w:r w:rsidRPr="0021398F">
              <w:rPr>
                <w:color w:val="000000"/>
              </w:rPr>
              <w:t>.64</w:t>
            </w:r>
          </w:p>
        </w:tc>
      </w:tr>
      <w:tr w:rsidR="00935CA9" w:rsidRPr="0021398F" w14:paraId="7A72EEC5" w14:textId="77777777" w:rsidTr="00F866EA">
        <w:trPr>
          <w:trHeight w:val="299"/>
        </w:trPr>
        <w:tc>
          <w:tcPr>
            <w:tcW w:w="1923" w:type="dxa"/>
            <w:tcBorders>
              <w:top w:val="nil"/>
              <w:left w:val="nil"/>
              <w:bottom w:val="nil"/>
              <w:right w:val="nil"/>
            </w:tcBorders>
            <w:shd w:val="clear" w:color="auto" w:fill="auto"/>
            <w:noWrap/>
            <w:vAlign w:val="bottom"/>
            <w:hideMark/>
          </w:tcPr>
          <w:p w14:paraId="45C3261E" w14:textId="77777777" w:rsidR="00935CA9" w:rsidRPr="0021398F" w:rsidRDefault="00935CA9" w:rsidP="00935CA9">
            <w:pPr>
              <w:spacing w:after="0" w:line="240" w:lineRule="auto"/>
              <w:jc w:val="left"/>
              <w:rPr>
                <w:color w:val="000000"/>
              </w:rPr>
            </w:pPr>
            <w:r w:rsidRPr="0021398F">
              <w:rPr>
                <w:color w:val="000000"/>
              </w:rPr>
              <w:t>Senegal</w:t>
            </w:r>
          </w:p>
        </w:tc>
        <w:tc>
          <w:tcPr>
            <w:tcW w:w="1317" w:type="dxa"/>
            <w:tcBorders>
              <w:top w:val="nil"/>
              <w:left w:val="nil"/>
              <w:bottom w:val="nil"/>
              <w:right w:val="nil"/>
            </w:tcBorders>
            <w:shd w:val="clear" w:color="auto" w:fill="auto"/>
            <w:noWrap/>
            <w:vAlign w:val="bottom"/>
            <w:hideMark/>
          </w:tcPr>
          <w:p w14:paraId="6A9A392B" w14:textId="732F613D" w:rsidR="00935CA9" w:rsidRPr="0021398F" w:rsidRDefault="00935CA9" w:rsidP="00935CA9">
            <w:pPr>
              <w:spacing w:after="0" w:line="240" w:lineRule="auto"/>
              <w:rPr>
                <w:color w:val="000000"/>
              </w:rPr>
            </w:pPr>
            <w:r>
              <w:rPr>
                <w:color w:val="000000"/>
              </w:rPr>
              <w:t>.59</w:t>
            </w:r>
          </w:p>
        </w:tc>
        <w:tc>
          <w:tcPr>
            <w:tcW w:w="1350" w:type="dxa"/>
            <w:tcBorders>
              <w:top w:val="nil"/>
              <w:left w:val="nil"/>
              <w:bottom w:val="nil"/>
              <w:right w:val="nil"/>
            </w:tcBorders>
            <w:shd w:val="clear" w:color="auto" w:fill="auto"/>
            <w:noWrap/>
            <w:vAlign w:val="bottom"/>
            <w:hideMark/>
          </w:tcPr>
          <w:p w14:paraId="39901285" w14:textId="408ED095" w:rsidR="00935CA9" w:rsidRPr="0021398F" w:rsidRDefault="00935CA9" w:rsidP="00935CA9">
            <w:pPr>
              <w:spacing w:after="0" w:line="240" w:lineRule="auto"/>
              <w:rPr>
                <w:color w:val="000000"/>
              </w:rPr>
            </w:pPr>
            <w:r>
              <w:rPr>
                <w:color w:val="000000"/>
              </w:rPr>
              <w:t>.54</w:t>
            </w:r>
          </w:p>
        </w:tc>
        <w:tc>
          <w:tcPr>
            <w:tcW w:w="1440" w:type="dxa"/>
            <w:tcBorders>
              <w:top w:val="nil"/>
              <w:left w:val="nil"/>
              <w:bottom w:val="nil"/>
              <w:right w:val="nil"/>
            </w:tcBorders>
            <w:shd w:val="clear" w:color="auto" w:fill="auto"/>
            <w:noWrap/>
            <w:vAlign w:val="center"/>
            <w:hideMark/>
          </w:tcPr>
          <w:p w14:paraId="6723415F" w14:textId="77777777" w:rsidR="00935CA9" w:rsidRPr="0021398F" w:rsidRDefault="00935CA9" w:rsidP="00935CA9">
            <w:pPr>
              <w:spacing w:after="0" w:line="240" w:lineRule="auto"/>
              <w:rPr>
                <w:color w:val="000000"/>
              </w:rPr>
            </w:pPr>
            <w:r w:rsidRPr="0021398F">
              <w:rPr>
                <w:color w:val="000000"/>
              </w:rPr>
              <w:t>.46</w:t>
            </w:r>
          </w:p>
        </w:tc>
        <w:tc>
          <w:tcPr>
            <w:tcW w:w="1379" w:type="dxa"/>
            <w:tcBorders>
              <w:top w:val="nil"/>
              <w:left w:val="nil"/>
              <w:bottom w:val="nil"/>
              <w:right w:val="nil"/>
            </w:tcBorders>
            <w:shd w:val="clear" w:color="auto" w:fill="auto"/>
            <w:noWrap/>
            <w:vAlign w:val="bottom"/>
            <w:hideMark/>
          </w:tcPr>
          <w:p w14:paraId="4E8FB72C" w14:textId="77777777" w:rsidR="00935CA9" w:rsidRPr="0021398F" w:rsidRDefault="00935CA9" w:rsidP="00935CA9">
            <w:pPr>
              <w:spacing w:after="0" w:line="240" w:lineRule="auto"/>
              <w:rPr>
                <w:color w:val="000000"/>
              </w:rPr>
            </w:pPr>
            <w:r w:rsidRPr="0021398F">
              <w:rPr>
                <w:color w:val="000000"/>
              </w:rPr>
              <w:t>.31</w:t>
            </w:r>
          </w:p>
        </w:tc>
      </w:tr>
      <w:tr w:rsidR="00935CA9" w:rsidRPr="0021398F" w14:paraId="2F34FCBD" w14:textId="77777777" w:rsidTr="00F866EA">
        <w:trPr>
          <w:trHeight w:val="299"/>
        </w:trPr>
        <w:tc>
          <w:tcPr>
            <w:tcW w:w="1923" w:type="dxa"/>
            <w:tcBorders>
              <w:top w:val="nil"/>
              <w:left w:val="nil"/>
              <w:bottom w:val="nil"/>
              <w:right w:val="nil"/>
            </w:tcBorders>
            <w:shd w:val="clear" w:color="auto" w:fill="auto"/>
            <w:noWrap/>
            <w:vAlign w:val="bottom"/>
            <w:hideMark/>
          </w:tcPr>
          <w:p w14:paraId="263EE8F7" w14:textId="77777777" w:rsidR="00935CA9" w:rsidRPr="0021398F" w:rsidRDefault="00935CA9" w:rsidP="00935CA9">
            <w:pPr>
              <w:spacing w:after="0" w:line="240" w:lineRule="auto"/>
              <w:jc w:val="left"/>
              <w:rPr>
                <w:color w:val="000000"/>
              </w:rPr>
            </w:pPr>
            <w:r w:rsidRPr="0021398F">
              <w:rPr>
                <w:color w:val="000000"/>
              </w:rPr>
              <w:t>Serbia</w:t>
            </w:r>
          </w:p>
        </w:tc>
        <w:tc>
          <w:tcPr>
            <w:tcW w:w="1317" w:type="dxa"/>
            <w:tcBorders>
              <w:top w:val="nil"/>
              <w:left w:val="nil"/>
              <w:bottom w:val="nil"/>
              <w:right w:val="nil"/>
            </w:tcBorders>
            <w:shd w:val="clear" w:color="auto" w:fill="auto"/>
            <w:noWrap/>
            <w:vAlign w:val="bottom"/>
            <w:hideMark/>
          </w:tcPr>
          <w:p w14:paraId="567C06B3" w14:textId="04094427"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6F19D8FE" w14:textId="018C0B6C" w:rsidR="00935CA9" w:rsidRPr="0021398F" w:rsidRDefault="00935CA9" w:rsidP="00935CA9">
            <w:pPr>
              <w:spacing w:after="0" w:line="240" w:lineRule="auto"/>
              <w:rPr>
                <w:color w:val="000000"/>
              </w:rPr>
            </w:pPr>
            <w:r>
              <w:rPr>
                <w:color w:val="000000"/>
              </w:rPr>
              <w:t>.79</w:t>
            </w:r>
          </w:p>
        </w:tc>
        <w:tc>
          <w:tcPr>
            <w:tcW w:w="1440" w:type="dxa"/>
            <w:tcBorders>
              <w:top w:val="nil"/>
              <w:left w:val="nil"/>
              <w:bottom w:val="nil"/>
              <w:right w:val="nil"/>
            </w:tcBorders>
            <w:shd w:val="clear" w:color="auto" w:fill="auto"/>
            <w:noWrap/>
            <w:vAlign w:val="center"/>
            <w:hideMark/>
          </w:tcPr>
          <w:p w14:paraId="4DA66B8E" w14:textId="77777777" w:rsidR="00935CA9" w:rsidRPr="0021398F" w:rsidRDefault="00935CA9" w:rsidP="00935CA9">
            <w:pPr>
              <w:spacing w:after="0" w:line="240" w:lineRule="auto"/>
              <w:rPr>
                <w:color w:val="000000"/>
              </w:rPr>
            </w:pPr>
            <w:r w:rsidRPr="0021398F">
              <w:rPr>
                <w:color w:val="000000"/>
              </w:rPr>
              <w:t>.81</w:t>
            </w:r>
          </w:p>
        </w:tc>
        <w:tc>
          <w:tcPr>
            <w:tcW w:w="1379" w:type="dxa"/>
            <w:tcBorders>
              <w:top w:val="nil"/>
              <w:left w:val="nil"/>
              <w:bottom w:val="nil"/>
              <w:right w:val="nil"/>
            </w:tcBorders>
            <w:shd w:val="clear" w:color="auto" w:fill="auto"/>
            <w:noWrap/>
            <w:vAlign w:val="bottom"/>
            <w:hideMark/>
          </w:tcPr>
          <w:p w14:paraId="0478F3FE" w14:textId="77777777" w:rsidR="00935CA9" w:rsidRPr="0021398F" w:rsidRDefault="00935CA9" w:rsidP="00935CA9">
            <w:pPr>
              <w:spacing w:after="0" w:line="240" w:lineRule="auto"/>
              <w:rPr>
                <w:color w:val="000000"/>
              </w:rPr>
            </w:pPr>
            <w:r w:rsidRPr="0021398F">
              <w:rPr>
                <w:color w:val="000000"/>
              </w:rPr>
              <w:t>.69</w:t>
            </w:r>
          </w:p>
        </w:tc>
      </w:tr>
      <w:tr w:rsidR="00935CA9" w:rsidRPr="0021398F" w14:paraId="0E54B81E" w14:textId="77777777" w:rsidTr="00F866EA">
        <w:trPr>
          <w:trHeight w:val="299"/>
        </w:trPr>
        <w:tc>
          <w:tcPr>
            <w:tcW w:w="1923" w:type="dxa"/>
            <w:tcBorders>
              <w:top w:val="nil"/>
              <w:left w:val="nil"/>
              <w:bottom w:val="nil"/>
              <w:right w:val="nil"/>
            </w:tcBorders>
            <w:shd w:val="clear" w:color="auto" w:fill="auto"/>
            <w:noWrap/>
            <w:vAlign w:val="bottom"/>
            <w:hideMark/>
          </w:tcPr>
          <w:p w14:paraId="1ED0B19C" w14:textId="77777777" w:rsidR="00935CA9" w:rsidRPr="0021398F" w:rsidRDefault="00935CA9" w:rsidP="00935CA9">
            <w:pPr>
              <w:spacing w:after="0" w:line="240" w:lineRule="auto"/>
              <w:jc w:val="left"/>
              <w:rPr>
                <w:color w:val="000000"/>
              </w:rPr>
            </w:pPr>
            <w:r w:rsidRPr="0021398F">
              <w:rPr>
                <w:color w:val="000000"/>
              </w:rPr>
              <w:t>Singapore</w:t>
            </w:r>
          </w:p>
        </w:tc>
        <w:tc>
          <w:tcPr>
            <w:tcW w:w="1317" w:type="dxa"/>
            <w:tcBorders>
              <w:top w:val="nil"/>
              <w:left w:val="nil"/>
              <w:bottom w:val="nil"/>
              <w:right w:val="nil"/>
            </w:tcBorders>
            <w:shd w:val="clear" w:color="auto" w:fill="auto"/>
            <w:noWrap/>
            <w:vAlign w:val="bottom"/>
            <w:hideMark/>
          </w:tcPr>
          <w:p w14:paraId="473A6412" w14:textId="706BA9B2"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261DDB6F" w14:textId="0DE41931" w:rsidR="00935CA9" w:rsidRPr="0021398F" w:rsidRDefault="00935CA9" w:rsidP="00935CA9">
            <w:pPr>
              <w:spacing w:after="0" w:line="240" w:lineRule="auto"/>
              <w:rPr>
                <w:color w:val="000000"/>
              </w:rPr>
            </w:pPr>
            <w:r>
              <w:rPr>
                <w:color w:val="000000"/>
              </w:rPr>
              <w:t>.85</w:t>
            </w:r>
          </w:p>
        </w:tc>
        <w:tc>
          <w:tcPr>
            <w:tcW w:w="1440" w:type="dxa"/>
            <w:tcBorders>
              <w:top w:val="nil"/>
              <w:left w:val="nil"/>
              <w:bottom w:val="nil"/>
              <w:right w:val="nil"/>
            </w:tcBorders>
            <w:shd w:val="clear" w:color="auto" w:fill="auto"/>
            <w:noWrap/>
            <w:vAlign w:val="center"/>
            <w:hideMark/>
          </w:tcPr>
          <w:p w14:paraId="62780372"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31290940" w14:textId="77777777" w:rsidR="00935CA9" w:rsidRPr="0021398F" w:rsidRDefault="00935CA9" w:rsidP="00935CA9">
            <w:pPr>
              <w:spacing w:after="0" w:line="240" w:lineRule="auto"/>
              <w:rPr>
                <w:color w:val="000000"/>
              </w:rPr>
            </w:pPr>
            <w:r w:rsidRPr="0021398F">
              <w:rPr>
                <w:color w:val="000000"/>
              </w:rPr>
              <w:t>.68</w:t>
            </w:r>
          </w:p>
        </w:tc>
      </w:tr>
      <w:tr w:rsidR="00935CA9" w:rsidRPr="0021398F" w14:paraId="4F2EC4A9" w14:textId="77777777" w:rsidTr="00F866EA">
        <w:trPr>
          <w:trHeight w:val="299"/>
        </w:trPr>
        <w:tc>
          <w:tcPr>
            <w:tcW w:w="1923" w:type="dxa"/>
            <w:tcBorders>
              <w:top w:val="nil"/>
              <w:left w:val="nil"/>
              <w:bottom w:val="nil"/>
              <w:right w:val="nil"/>
            </w:tcBorders>
            <w:shd w:val="clear" w:color="auto" w:fill="auto"/>
            <w:noWrap/>
            <w:vAlign w:val="bottom"/>
            <w:hideMark/>
          </w:tcPr>
          <w:p w14:paraId="6327FE89" w14:textId="77777777" w:rsidR="00935CA9" w:rsidRPr="0021398F" w:rsidRDefault="00935CA9" w:rsidP="00935CA9">
            <w:pPr>
              <w:spacing w:after="0" w:line="240" w:lineRule="auto"/>
              <w:jc w:val="left"/>
              <w:rPr>
                <w:color w:val="000000"/>
              </w:rPr>
            </w:pPr>
            <w:r w:rsidRPr="0021398F">
              <w:rPr>
                <w:color w:val="000000"/>
              </w:rPr>
              <w:t>Slovakia</w:t>
            </w:r>
          </w:p>
        </w:tc>
        <w:tc>
          <w:tcPr>
            <w:tcW w:w="1317" w:type="dxa"/>
            <w:tcBorders>
              <w:top w:val="nil"/>
              <w:left w:val="nil"/>
              <w:bottom w:val="nil"/>
              <w:right w:val="nil"/>
            </w:tcBorders>
            <w:shd w:val="clear" w:color="auto" w:fill="auto"/>
            <w:noWrap/>
            <w:vAlign w:val="bottom"/>
            <w:hideMark/>
          </w:tcPr>
          <w:p w14:paraId="105CAAFC" w14:textId="32E2499B" w:rsidR="00935CA9" w:rsidRPr="0021398F" w:rsidRDefault="00935CA9" w:rsidP="00935CA9">
            <w:pPr>
              <w:spacing w:after="0" w:line="240" w:lineRule="auto"/>
              <w:rPr>
                <w:color w:val="000000"/>
              </w:rPr>
            </w:pPr>
            <w:r>
              <w:rPr>
                <w:color w:val="000000"/>
              </w:rPr>
              <w:t>.86</w:t>
            </w:r>
          </w:p>
        </w:tc>
        <w:tc>
          <w:tcPr>
            <w:tcW w:w="1350" w:type="dxa"/>
            <w:tcBorders>
              <w:top w:val="nil"/>
              <w:left w:val="nil"/>
              <w:bottom w:val="nil"/>
              <w:right w:val="nil"/>
            </w:tcBorders>
            <w:shd w:val="clear" w:color="auto" w:fill="auto"/>
            <w:noWrap/>
            <w:vAlign w:val="bottom"/>
            <w:hideMark/>
          </w:tcPr>
          <w:p w14:paraId="4E183786" w14:textId="6037D958" w:rsidR="00935CA9" w:rsidRPr="0021398F" w:rsidRDefault="00935CA9" w:rsidP="00935CA9">
            <w:pPr>
              <w:spacing w:after="0" w:line="240" w:lineRule="auto"/>
              <w:rPr>
                <w:color w:val="000000"/>
              </w:rPr>
            </w:pPr>
            <w:r>
              <w:rPr>
                <w:color w:val="000000"/>
              </w:rPr>
              <w:t>.78</w:t>
            </w:r>
          </w:p>
        </w:tc>
        <w:tc>
          <w:tcPr>
            <w:tcW w:w="1440" w:type="dxa"/>
            <w:tcBorders>
              <w:top w:val="nil"/>
              <w:left w:val="nil"/>
              <w:bottom w:val="nil"/>
              <w:right w:val="nil"/>
            </w:tcBorders>
            <w:shd w:val="clear" w:color="auto" w:fill="auto"/>
            <w:noWrap/>
            <w:vAlign w:val="center"/>
            <w:hideMark/>
          </w:tcPr>
          <w:p w14:paraId="1216EF71" w14:textId="77777777" w:rsidR="00935CA9" w:rsidRPr="0021398F" w:rsidRDefault="00935CA9" w:rsidP="00935CA9">
            <w:pPr>
              <w:spacing w:after="0" w:line="240" w:lineRule="auto"/>
              <w:rPr>
                <w:color w:val="000000"/>
              </w:rPr>
            </w:pPr>
            <w:r w:rsidRPr="0021398F">
              <w:rPr>
                <w:color w:val="000000"/>
              </w:rPr>
              <w:t>.81</w:t>
            </w:r>
          </w:p>
        </w:tc>
        <w:tc>
          <w:tcPr>
            <w:tcW w:w="1379" w:type="dxa"/>
            <w:tcBorders>
              <w:top w:val="nil"/>
              <w:left w:val="nil"/>
              <w:bottom w:val="nil"/>
              <w:right w:val="nil"/>
            </w:tcBorders>
            <w:shd w:val="clear" w:color="auto" w:fill="auto"/>
            <w:noWrap/>
            <w:vAlign w:val="bottom"/>
            <w:hideMark/>
          </w:tcPr>
          <w:p w14:paraId="14EC7AC6" w14:textId="77777777" w:rsidR="00935CA9" w:rsidRPr="0021398F" w:rsidRDefault="00935CA9" w:rsidP="00935CA9">
            <w:pPr>
              <w:spacing w:after="0" w:line="240" w:lineRule="auto"/>
              <w:rPr>
                <w:color w:val="000000"/>
              </w:rPr>
            </w:pPr>
            <w:r w:rsidRPr="0021398F">
              <w:rPr>
                <w:color w:val="000000"/>
              </w:rPr>
              <w:t>.63</w:t>
            </w:r>
          </w:p>
        </w:tc>
      </w:tr>
      <w:tr w:rsidR="00935CA9" w:rsidRPr="0021398F" w14:paraId="7263C318" w14:textId="77777777" w:rsidTr="00F866EA">
        <w:trPr>
          <w:trHeight w:val="299"/>
        </w:trPr>
        <w:tc>
          <w:tcPr>
            <w:tcW w:w="1923" w:type="dxa"/>
            <w:tcBorders>
              <w:top w:val="nil"/>
              <w:left w:val="nil"/>
              <w:bottom w:val="nil"/>
              <w:right w:val="nil"/>
            </w:tcBorders>
            <w:shd w:val="clear" w:color="auto" w:fill="auto"/>
            <w:noWrap/>
            <w:vAlign w:val="bottom"/>
            <w:hideMark/>
          </w:tcPr>
          <w:p w14:paraId="503B7337" w14:textId="77777777" w:rsidR="00935CA9" w:rsidRPr="0021398F" w:rsidRDefault="00935CA9" w:rsidP="00935CA9">
            <w:pPr>
              <w:spacing w:after="0" w:line="240" w:lineRule="auto"/>
              <w:jc w:val="left"/>
              <w:rPr>
                <w:color w:val="000000"/>
              </w:rPr>
            </w:pPr>
            <w:r w:rsidRPr="0021398F">
              <w:rPr>
                <w:color w:val="000000"/>
              </w:rPr>
              <w:t>Slovenia</w:t>
            </w:r>
          </w:p>
        </w:tc>
        <w:tc>
          <w:tcPr>
            <w:tcW w:w="1317" w:type="dxa"/>
            <w:tcBorders>
              <w:top w:val="nil"/>
              <w:left w:val="nil"/>
              <w:bottom w:val="nil"/>
              <w:right w:val="nil"/>
            </w:tcBorders>
            <w:shd w:val="clear" w:color="auto" w:fill="auto"/>
            <w:noWrap/>
            <w:vAlign w:val="bottom"/>
            <w:hideMark/>
          </w:tcPr>
          <w:p w14:paraId="13BFED6F" w14:textId="48D944F7" w:rsidR="00935CA9" w:rsidRPr="0021398F" w:rsidRDefault="00935CA9" w:rsidP="00935CA9">
            <w:pPr>
              <w:spacing w:after="0" w:line="240" w:lineRule="auto"/>
              <w:rPr>
                <w:color w:val="000000"/>
              </w:rPr>
            </w:pPr>
            <w:r>
              <w:rPr>
                <w:color w:val="000000"/>
              </w:rPr>
              <w:t>.87</w:t>
            </w:r>
          </w:p>
        </w:tc>
        <w:tc>
          <w:tcPr>
            <w:tcW w:w="1350" w:type="dxa"/>
            <w:tcBorders>
              <w:top w:val="nil"/>
              <w:left w:val="nil"/>
              <w:bottom w:val="nil"/>
              <w:right w:val="nil"/>
            </w:tcBorders>
            <w:shd w:val="clear" w:color="auto" w:fill="auto"/>
            <w:noWrap/>
            <w:vAlign w:val="bottom"/>
            <w:hideMark/>
          </w:tcPr>
          <w:p w14:paraId="450476BE" w14:textId="003C05E9" w:rsidR="00935CA9" w:rsidRPr="0021398F" w:rsidRDefault="00935CA9" w:rsidP="00935CA9">
            <w:pPr>
              <w:spacing w:after="0" w:line="240" w:lineRule="auto"/>
              <w:rPr>
                <w:color w:val="000000"/>
              </w:rPr>
            </w:pPr>
            <w:r>
              <w:rPr>
                <w:color w:val="000000"/>
              </w:rPr>
              <w:t>.83</w:t>
            </w:r>
          </w:p>
        </w:tc>
        <w:tc>
          <w:tcPr>
            <w:tcW w:w="1440" w:type="dxa"/>
            <w:tcBorders>
              <w:top w:val="nil"/>
              <w:left w:val="nil"/>
              <w:bottom w:val="nil"/>
              <w:right w:val="nil"/>
            </w:tcBorders>
            <w:shd w:val="clear" w:color="auto" w:fill="auto"/>
            <w:noWrap/>
            <w:vAlign w:val="center"/>
            <w:hideMark/>
          </w:tcPr>
          <w:p w14:paraId="574C326F"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2137BD3E" w14:textId="77777777" w:rsidR="00935CA9" w:rsidRPr="0021398F" w:rsidRDefault="00935CA9" w:rsidP="00935CA9">
            <w:pPr>
              <w:spacing w:after="0" w:line="240" w:lineRule="auto"/>
              <w:rPr>
                <w:color w:val="000000"/>
              </w:rPr>
            </w:pPr>
            <w:r w:rsidRPr="0021398F">
              <w:rPr>
                <w:color w:val="000000"/>
              </w:rPr>
              <w:t>.64</w:t>
            </w:r>
          </w:p>
        </w:tc>
      </w:tr>
      <w:tr w:rsidR="00935CA9" w:rsidRPr="0021398F" w14:paraId="6790F8BD" w14:textId="77777777" w:rsidTr="00F866EA">
        <w:trPr>
          <w:trHeight w:val="299"/>
        </w:trPr>
        <w:tc>
          <w:tcPr>
            <w:tcW w:w="1923" w:type="dxa"/>
            <w:tcBorders>
              <w:top w:val="nil"/>
              <w:left w:val="nil"/>
              <w:bottom w:val="nil"/>
              <w:right w:val="nil"/>
            </w:tcBorders>
            <w:shd w:val="clear" w:color="auto" w:fill="auto"/>
            <w:noWrap/>
            <w:vAlign w:val="bottom"/>
            <w:hideMark/>
          </w:tcPr>
          <w:p w14:paraId="78406C2C" w14:textId="77777777" w:rsidR="00935CA9" w:rsidRPr="0021398F" w:rsidRDefault="00935CA9" w:rsidP="00935CA9">
            <w:pPr>
              <w:spacing w:after="0" w:line="240" w:lineRule="auto"/>
              <w:jc w:val="left"/>
              <w:rPr>
                <w:color w:val="000000"/>
              </w:rPr>
            </w:pPr>
            <w:r w:rsidRPr="0021398F">
              <w:rPr>
                <w:color w:val="000000"/>
              </w:rPr>
              <w:t>South Africa</w:t>
            </w:r>
          </w:p>
        </w:tc>
        <w:tc>
          <w:tcPr>
            <w:tcW w:w="1317" w:type="dxa"/>
            <w:tcBorders>
              <w:top w:val="nil"/>
              <w:left w:val="nil"/>
              <w:bottom w:val="nil"/>
              <w:right w:val="nil"/>
            </w:tcBorders>
            <w:shd w:val="clear" w:color="auto" w:fill="auto"/>
            <w:noWrap/>
            <w:vAlign w:val="bottom"/>
            <w:hideMark/>
          </w:tcPr>
          <w:p w14:paraId="5A82C8F2" w14:textId="38822397" w:rsidR="00935CA9" w:rsidRPr="0021398F" w:rsidRDefault="00935CA9" w:rsidP="00935CA9">
            <w:pPr>
              <w:spacing w:after="0" w:line="240" w:lineRule="auto"/>
              <w:rPr>
                <w:color w:val="000000"/>
              </w:rPr>
            </w:pPr>
            <w:r>
              <w:rPr>
                <w:color w:val="000000"/>
              </w:rPr>
              <w:t>.88</w:t>
            </w:r>
          </w:p>
        </w:tc>
        <w:tc>
          <w:tcPr>
            <w:tcW w:w="1350" w:type="dxa"/>
            <w:tcBorders>
              <w:top w:val="nil"/>
              <w:left w:val="nil"/>
              <w:bottom w:val="nil"/>
              <w:right w:val="nil"/>
            </w:tcBorders>
            <w:shd w:val="clear" w:color="auto" w:fill="auto"/>
            <w:noWrap/>
            <w:vAlign w:val="bottom"/>
            <w:hideMark/>
          </w:tcPr>
          <w:p w14:paraId="6663DA95" w14:textId="47801FFA" w:rsidR="00935CA9" w:rsidRPr="0021398F" w:rsidRDefault="00935CA9" w:rsidP="00935CA9">
            <w:pPr>
              <w:spacing w:after="0" w:line="240" w:lineRule="auto"/>
              <w:rPr>
                <w:color w:val="000000"/>
              </w:rPr>
            </w:pPr>
            <w:r>
              <w:rPr>
                <w:color w:val="000000"/>
              </w:rPr>
              <w:t>.86</w:t>
            </w:r>
          </w:p>
        </w:tc>
        <w:tc>
          <w:tcPr>
            <w:tcW w:w="1440" w:type="dxa"/>
            <w:tcBorders>
              <w:top w:val="nil"/>
              <w:left w:val="nil"/>
              <w:bottom w:val="nil"/>
              <w:right w:val="nil"/>
            </w:tcBorders>
            <w:shd w:val="clear" w:color="auto" w:fill="auto"/>
            <w:noWrap/>
            <w:vAlign w:val="center"/>
            <w:hideMark/>
          </w:tcPr>
          <w:p w14:paraId="1FC56AD6" w14:textId="77777777" w:rsidR="00935CA9" w:rsidRPr="0021398F" w:rsidRDefault="00935CA9" w:rsidP="00935CA9">
            <w:pPr>
              <w:spacing w:after="0" w:line="240" w:lineRule="auto"/>
              <w:rPr>
                <w:color w:val="000000"/>
              </w:rPr>
            </w:pPr>
            <w:r w:rsidRPr="0021398F">
              <w:rPr>
                <w:color w:val="000000"/>
              </w:rPr>
              <w:t>.85</w:t>
            </w:r>
          </w:p>
        </w:tc>
        <w:tc>
          <w:tcPr>
            <w:tcW w:w="1379" w:type="dxa"/>
            <w:tcBorders>
              <w:top w:val="nil"/>
              <w:left w:val="nil"/>
              <w:bottom w:val="nil"/>
              <w:right w:val="nil"/>
            </w:tcBorders>
            <w:shd w:val="clear" w:color="auto" w:fill="auto"/>
            <w:noWrap/>
            <w:vAlign w:val="bottom"/>
            <w:hideMark/>
          </w:tcPr>
          <w:p w14:paraId="73A04C03" w14:textId="77777777" w:rsidR="00935CA9" w:rsidRPr="0021398F" w:rsidRDefault="00935CA9" w:rsidP="00935CA9">
            <w:pPr>
              <w:spacing w:after="0" w:line="240" w:lineRule="auto"/>
              <w:rPr>
                <w:color w:val="000000"/>
              </w:rPr>
            </w:pPr>
            <w:r w:rsidRPr="0021398F">
              <w:rPr>
                <w:color w:val="000000"/>
              </w:rPr>
              <w:t>.66</w:t>
            </w:r>
          </w:p>
        </w:tc>
      </w:tr>
      <w:tr w:rsidR="00935CA9" w:rsidRPr="0021398F" w14:paraId="230E77C9" w14:textId="77777777" w:rsidTr="00F866EA">
        <w:trPr>
          <w:trHeight w:val="299"/>
        </w:trPr>
        <w:tc>
          <w:tcPr>
            <w:tcW w:w="1923" w:type="dxa"/>
            <w:tcBorders>
              <w:top w:val="nil"/>
              <w:left w:val="nil"/>
              <w:bottom w:val="nil"/>
              <w:right w:val="nil"/>
            </w:tcBorders>
            <w:shd w:val="clear" w:color="auto" w:fill="auto"/>
            <w:noWrap/>
            <w:vAlign w:val="bottom"/>
            <w:hideMark/>
          </w:tcPr>
          <w:p w14:paraId="3FA348FF" w14:textId="77777777" w:rsidR="00935CA9" w:rsidRPr="0021398F" w:rsidRDefault="00935CA9" w:rsidP="00935CA9">
            <w:pPr>
              <w:spacing w:after="0" w:line="240" w:lineRule="auto"/>
              <w:jc w:val="left"/>
              <w:rPr>
                <w:color w:val="000000"/>
              </w:rPr>
            </w:pPr>
            <w:r w:rsidRPr="0021398F">
              <w:rPr>
                <w:color w:val="000000"/>
              </w:rPr>
              <w:t>South Korea</w:t>
            </w:r>
          </w:p>
        </w:tc>
        <w:tc>
          <w:tcPr>
            <w:tcW w:w="1317" w:type="dxa"/>
            <w:tcBorders>
              <w:top w:val="nil"/>
              <w:left w:val="nil"/>
              <w:bottom w:val="nil"/>
              <w:right w:val="nil"/>
            </w:tcBorders>
            <w:shd w:val="clear" w:color="auto" w:fill="auto"/>
            <w:noWrap/>
            <w:vAlign w:val="bottom"/>
            <w:hideMark/>
          </w:tcPr>
          <w:p w14:paraId="76342C69" w14:textId="4B61BD5E" w:rsidR="00935CA9" w:rsidRPr="0021398F" w:rsidRDefault="00935CA9" w:rsidP="00935CA9">
            <w:pPr>
              <w:spacing w:after="0" w:line="240" w:lineRule="auto"/>
              <w:rPr>
                <w:color w:val="000000"/>
              </w:rPr>
            </w:pPr>
            <w:r>
              <w:rPr>
                <w:color w:val="000000"/>
              </w:rPr>
              <w:t>.91</w:t>
            </w:r>
          </w:p>
        </w:tc>
        <w:tc>
          <w:tcPr>
            <w:tcW w:w="1350" w:type="dxa"/>
            <w:tcBorders>
              <w:top w:val="nil"/>
              <w:left w:val="nil"/>
              <w:bottom w:val="nil"/>
              <w:right w:val="nil"/>
            </w:tcBorders>
            <w:shd w:val="clear" w:color="auto" w:fill="auto"/>
            <w:noWrap/>
            <w:vAlign w:val="bottom"/>
            <w:hideMark/>
          </w:tcPr>
          <w:p w14:paraId="4A98A6D0" w14:textId="504EEE0A" w:rsidR="00935CA9" w:rsidRPr="0021398F" w:rsidRDefault="00935CA9" w:rsidP="00935CA9">
            <w:pPr>
              <w:spacing w:after="0" w:line="240" w:lineRule="auto"/>
              <w:rPr>
                <w:color w:val="000000"/>
              </w:rPr>
            </w:pPr>
            <w:r>
              <w:rPr>
                <w:color w:val="000000"/>
              </w:rPr>
              <w:t>.84</w:t>
            </w:r>
          </w:p>
        </w:tc>
        <w:tc>
          <w:tcPr>
            <w:tcW w:w="1440" w:type="dxa"/>
            <w:tcBorders>
              <w:top w:val="nil"/>
              <w:left w:val="nil"/>
              <w:bottom w:val="nil"/>
              <w:right w:val="nil"/>
            </w:tcBorders>
            <w:shd w:val="clear" w:color="auto" w:fill="auto"/>
            <w:noWrap/>
            <w:vAlign w:val="center"/>
            <w:hideMark/>
          </w:tcPr>
          <w:p w14:paraId="5D445E57" w14:textId="77777777" w:rsidR="00935CA9" w:rsidRPr="0021398F" w:rsidRDefault="00935CA9" w:rsidP="00935CA9">
            <w:pPr>
              <w:spacing w:after="0" w:line="240" w:lineRule="auto"/>
              <w:rPr>
                <w:color w:val="000000"/>
              </w:rPr>
            </w:pPr>
            <w:r w:rsidRPr="0021398F">
              <w:rPr>
                <w:color w:val="000000"/>
              </w:rPr>
              <w:t>.86</w:t>
            </w:r>
          </w:p>
        </w:tc>
        <w:tc>
          <w:tcPr>
            <w:tcW w:w="1379" w:type="dxa"/>
            <w:tcBorders>
              <w:top w:val="nil"/>
              <w:left w:val="nil"/>
              <w:bottom w:val="nil"/>
              <w:right w:val="nil"/>
            </w:tcBorders>
            <w:shd w:val="clear" w:color="auto" w:fill="auto"/>
            <w:noWrap/>
            <w:vAlign w:val="bottom"/>
            <w:hideMark/>
          </w:tcPr>
          <w:p w14:paraId="22E41536" w14:textId="77777777" w:rsidR="00935CA9" w:rsidRPr="0021398F" w:rsidRDefault="00935CA9" w:rsidP="00935CA9">
            <w:pPr>
              <w:spacing w:after="0" w:line="240" w:lineRule="auto"/>
              <w:rPr>
                <w:color w:val="000000"/>
              </w:rPr>
            </w:pPr>
            <w:r w:rsidRPr="0021398F">
              <w:rPr>
                <w:color w:val="000000"/>
              </w:rPr>
              <w:t>.72</w:t>
            </w:r>
          </w:p>
        </w:tc>
      </w:tr>
      <w:tr w:rsidR="00935CA9" w:rsidRPr="0021398F" w14:paraId="1C787EE4" w14:textId="77777777" w:rsidTr="00F866EA">
        <w:trPr>
          <w:trHeight w:val="299"/>
        </w:trPr>
        <w:tc>
          <w:tcPr>
            <w:tcW w:w="1923" w:type="dxa"/>
            <w:tcBorders>
              <w:top w:val="nil"/>
              <w:left w:val="nil"/>
              <w:bottom w:val="nil"/>
              <w:right w:val="nil"/>
            </w:tcBorders>
            <w:shd w:val="clear" w:color="auto" w:fill="auto"/>
            <w:noWrap/>
            <w:vAlign w:val="bottom"/>
            <w:hideMark/>
          </w:tcPr>
          <w:p w14:paraId="7D161236" w14:textId="77777777" w:rsidR="00935CA9" w:rsidRPr="0021398F" w:rsidRDefault="00935CA9" w:rsidP="00935CA9">
            <w:pPr>
              <w:spacing w:after="0" w:line="240" w:lineRule="auto"/>
              <w:jc w:val="left"/>
              <w:rPr>
                <w:color w:val="000000"/>
              </w:rPr>
            </w:pPr>
            <w:r w:rsidRPr="0021398F">
              <w:rPr>
                <w:color w:val="000000"/>
              </w:rPr>
              <w:t>Spain</w:t>
            </w:r>
          </w:p>
        </w:tc>
        <w:tc>
          <w:tcPr>
            <w:tcW w:w="1317" w:type="dxa"/>
            <w:tcBorders>
              <w:top w:val="nil"/>
              <w:left w:val="nil"/>
              <w:bottom w:val="nil"/>
              <w:right w:val="nil"/>
            </w:tcBorders>
            <w:shd w:val="clear" w:color="auto" w:fill="auto"/>
            <w:noWrap/>
            <w:vAlign w:val="bottom"/>
            <w:hideMark/>
          </w:tcPr>
          <w:p w14:paraId="52C5AAA9" w14:textId="50FAD9B7"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0430F7C8" w14:textId="764B65DA" w:rsidR="00935CA9" w:rsidRPr="0021398F" w:rsidRDefault="00935CA9" w:rsidP="00935CA9">
            <w:pPr>
              <w:spacing w:after="0" w:line="240" w:lineRule="auto"/>
              <w:rPr>
                <w:color w:val="000000"/>
              </w:rPr>
            </w:pPr>
            <w:r>
              <w:rPr>
                <w:color w:val="000000"/>
              </w:rPr>
              <w:t>.84</w:t>
            </w:r>
          </w:p>
        </w:tc>
        <w:tc>
          <w:tcPr>
            <w:tcW w:w="1440" w:type="dxa"/>
            <w:tcBorders>
              <w:top w:val="nil"/>
              <w:left w:val="nil"/>
              <w:bottom w:val="nil"/>
              <w:right w:val="nil"/>
            </w:tcBorders>
            <w:shd w:val="clear" w:color="auto" w:fill="auto"/>
            <w:noWrap/>
            <w:vAlign w:val="center"/>
            <w:hideMark/>
          </w:tcPr>
          <w:p w14:paraId="659E53B9" w14:textId="77777777" w:rsidR="00935CA9" w:rsidRPr="0021398F" w:rsidRDefault="00935CA9" w:rsidP="00935CA9">
            <w:pPr>
              <w:spacing w:after="0" w:line="240" w:lineRule="auto"/>
              <w:rPr>
                <w:color w:val="000000"/>
              </w:rPr>
            </w:pPr>
            <w:r w:rsidRPr="0021398F">
              <w:rPr>
                <w:color w:val="000000"/>
              </w:rPr>
              <w:t>.84</w:t>
            </w:r>
          </w:p>
        </w:tc>
        <w:tc>
          <w:tcPr>
            <w:tcW w:w="1379" w:type="dxa"/>
            <w:tcBorders>
              <w:top w:val="nil"/>
              <w:left w:val="nil"/>
              <w:bottom w:val="nil"/>
              <w:right w:val="nil"/>
            </w:tcBorders>
            <w:shd w:val="clear" w:color="auto" w:fill="auto"/>
            <w:noWrap/>
            <w:vAlign w:val="bottom"/>
            <w:hideMark/>
          </w:tcPr>
          <w:p w14:paraId="05FED686" w14:textId="77777777" w:rsidR="00935CA9" w:rsidRPr="0021398F" w:rsidRDefault="00935CA9" w:rsidP="00935CA9">
            <w:pPr>
              <w:spacing w:after="0" w:line="240" w:lineRule="auto"/>
              <w:rPr>
                <w:color w:val="000000"/>
              </w:rPr>
            </w:pPr>
            <w:r w:rsidRPr="0021398F">
              <w:rPr>
                <w:color w:val="000000"/>
              </w:rPr>
              <w:t>.68</w:t>
            </w:r>
          </w:p>
        </w:tc>
      </w:tr>
      <w:tr w:rsidR="00935CA9" w:rsidRPr="0021398F" w14:paraId="5083D33E" w14:textId="77777777" w:rsidTr="00F866EA">
        <w:trPr>
          <w:trHeight w:val="299"/>
        </w:trPr>
        <w:tc>
          <w:tcPr>
            <w:tcW w:w="1923" w:type="dxa"/>
            <w:tcBorders>
              <w:top w:val="nil"/>
              <w:left w:val="nil"/>
              <w:bottom w:val="nil"/>
              <w:right w:val="nil"/>
            </w:tcBorders>
            <w:shd w:val="clear" w:color="auto" w:fill="auto"/>
            <w:noWrap/>
            <w:vAlign w:val="bottom"/>
            <w:hideMark/>
          </w:tcPr>
          <w:p w14:paraId="55A8AABF" w14:textId="77777777" w:rsidR="00935CA9" w:rsidRPr="0021398F" w:rsidRDefault="00935CA9" w:rsidP="00935CA9">
            <w:pPr>
              <w:spacing w:after="0" w:line="240" w:lineRule="auto"/>
              <w:jc w:val="left"/>
              <w:rPr>
                <w:color w:val="000000"/>
              </w:rPr>
            </w:pPr>
            <w:r w:rsidRPr="0021398F">
              <w:rPr>
                <w:color w:val="000000"/>
              </w:rPr>
              <w:t>Sweden</w:t>
            </w:r>
          </w:p>
        </w:tc>
        <w:tc>
          <w:tcPr>
            <w:tcW w:w="1317" w:type="dxa"/>
            <w:tcBorders>
              <w:top w:val="nil"/>
              <w:left w:val="nil"/>
              <w:bottom w:val="nil"/>
              <w:right w:val="nil"/>
            </w:tcBorders>
            <w:shd w:val="clear" w:color="auto" w:fill="auto"/>
            <w:noWrap/>
            <w:vAlign w:val="bottom"/>
            <w:hideMark/>
          </w:tcPr>
          <w:p w14:paraId="42AB4AE3" w14:textId="243348D7" w:rsidR="00935CA9" w:rsidRPr="0021398F" w:rsidRDefault="00935CA9" w:rsidP="00935CA9">
            <w:pPr>
              <w:spacing w:after="0" w:line="240" w:lineRule="auto"/>
              <w:rPr>
                <w:color w:val="000000"/>
              </w:rPr>
            </w:pPr>
            <w:r>
              <w:rPr>
                <w:color w:val="000000"/>
              </w:rPr>
              <w:t>.91</w:t>
            </w:r>
          </w:p>
        </w:tc>
        <w:tc>
          <w:tcPr>
            <w:tcW w:w="1350" w:type="dxa"/>
            <w:tcBorders>
              <w:top w:val="nil"/>
              <w:left w:val="nil"/>
              <w:bottom w:val="nil"/>
              <w:right w:val="nil"/>
            </w:tcBorders>
            <w:shd w:val="clear" w:color="auto" w:fill="auto"/>
            <w:noWrap/>
            <w:vAlign w:val="bottom"/>
            <w:hideMark/>
          </w:tcPr>
          <w:p w14:paraId="4064B6B7" w14:textId="2412B242" w:rsidR="00935CA9" w:rsidRPr="0021398F" w:rsidRDefault="00935CA9" w:rsidP="00935CA9">
            <w:pPr>
              <w:spacing w:after="0" w:line="240" w:lineRule="auto"/>
              <w:rPr>
                <w:color w:val="000000"/>
              </w:rPr>
            </w:pPr>
            <w:r>
              <w:rPr>
                <w:color w:val="000000"/>
              </w:rPr>
              <w:t>.89</w:t>
            </w:r>
          </w:p>
        </w:tc>
        <w:tc>
          <w:tcPr>
            <w:tcW w:w="1440" w:type="dxa"/>
            <w:tcBorders>
              <w:top w:val="nil"/>
              <w:left w:val="nil"/>
              <w:bottom w:val="nil"/>
              <w:right w:val="nil"/>
            </w:tcBorders>
            <w:shd w:val="clear" w:color="auto" w:fill="auto"/>
            <w:noWrap/>
            <w:vAlign w:val="center"/>
            <w:hideMark/>
          </w:tcPr>
          <w:p w14:paraId="72C2528F" w14:textId="77777777" w:rsidR="00935CA9" w:rsidRPr="0021398F" w:rsidRDefault="00935CA9" w:rsidP="00935CA9">
            <w:pPr>
              <w:spacing w:after="0" w:line="240" w:lineRule="auto"/>
              <w:rPr>
                <w:color w:val="000000"/>
              </w:rPr>
            </w:pPr>
            <w:r w:rsidRPr="0021398F">
              <w:rPr>
                <w:color w:val="000000"/>
              </w:rPr>
              <w:t>.89</w:t>
            </w:r>
          </w:p>
        </w:tc>
        <w:tc>
          <w:tcPr>
            <w:tcW w:w="1379" w:type="dxa"/>
            <w:tcBorders>
              <w:top w:val="nil"/>
              <w:left w:val="nil"/>
              <w:bottom w:val="nil"/>
              <w:right w:val="nil"/>
            </w:tcBorders>
            <w:shd w:val="clear" w:color="auto" w:fill="auto"/>
            <w:noWrap/>
            <w:vAlign w:val="bottom"/>
            <w:hideMark/>
          </w:tcPr>
          <w:p w14:paraId="23E62E1D" w14:textId="77777777" w:rsidR="00935CA9" w:rsidRPr="0021398F" w:rsidRDefault="00935CA9" w:rsidP="00935CA9">
            <w:pPr>
              <w:spacing w:after="0" w:line="240" w:lineRule="auto"/>
              <w:rPr>
                <w:color w:val="000000"/>
              </w:rPr>
            </w:pPr>
            <w:r w:rsidRPr="0021398F">
              <w:rPr>
                <w:color w:val="000000"/>
              </w:rPr>
              <w:t>.73</w:t>
            </w:r>
          </w:p>
        </w:tc>
      </w:tr>
      <w:tr w:rsidR="00935CA9" w:rsidRPr="0021398F" w14:paraId="5DD35E44" w14:textId="77777777" w:rsidTr="00F866EA">
        <w:trPr>
          <w:trHeight w:val="299"/>
        </w:trPr>
        <w:tc>
          <w:tcPr>
            <w:tcW w:w="1923" w:type="dxa"/>
            <w:tcBorders>
              <w:top w:val="nil"/>
              <w:left w:val="nil"/>
              <w:bottom w:val="nil"/>
              <w:right w:val="nil"/>
            </w:tcBorders>
            <w:shd w:val="clear" w:color="auto" w:fill="auto"/>
            <w:noWrap/>
            <w:vAlign w:val="bottom"/>
            <w:hideMark/>
          </w:tcPr>
          <w:p w14:paraId="6C4BE104" w14:textId="77777777" w:rsidR="00935CA9" w:rsidRPr="0021398F" w:rsidRDefault="00935CA9" w:rsidP="00935CA9">
            <w:pPr>
              <w:spacing w:after="0" w:line="240" w:lineRule="auto"/>
              <w:jc w:val="left"/>
              <w:rPr>
                <w:color w:val="000000"/>
              </w:rPr>
            </w:pPr>
            <w:r w:rsidRPr="0021398F">
              <w:rPr>
                <w:color w:val="000000"/>
              </w:rPr>
              <w:t>Switzerland</w:t>
            </w:r>
          </w:p>
        </w:tc>
        <w:tc>
          <w:tcPr>
            <w:tcW w:w="1317" w:type="dxa"/>
            <w:tcBorders>
              <w:top w:val="nil"/>
              <w:left w:val="nil"/>
              <w:bottom w:val="nil"/>
              <w:right w:val="nil"/>
            </w:tcBorders>
            <w:shd w:val="clear" w:color="auto" w:fill="auto"/>
            <w:noWrap/>
            <w:vAlign w:val="bottom"/>
            <w:hideMark/>
          </w:tcPr>
          <w:p w14:paraId="36043B15" w14:textId="261848EC" w:rsidR="00935CA9" w:rsidRPr="0021398F" w:rsidRDefault="00935CA9" w:rsidP="00935CA9">
            <w:pPr>
              <w:spacing w:after="0" w:line="240" w:lineRule="auto"/>
              <w:rPr>
                <w:color w:val="000000"/>
              </w:rPr>
            </w:pPr>
            <w:r>
              <w:rPr>
                <w:color w:val="000000"/>
              </w:rPr>
              <w:t>.87</w:t>
            </w:r>
          </w:p>
        </w:tc>
        <w:tc>
          <w:tcPr>
            <w:tcW w:w="1350" w:type="dxa"/>
            <w:tcBorders>
              <w:top w:val="nil"/>
              <w:left w:val="nil"/>
              <w:bottom w:val="nil"/>
              <w:right w:val="nil"/>
            </w:tcBorders>
            <w:shd w:val="clear" w:color="auto" w:fill="auto"/>
            <w:noWrap/>
            <w:vAlign w:val="bottom"/>
            <w:hideMark/>
          </w:tcPr>
          <w:p w14:paraId="5B5B6C5E" w14:textId="3C58DF5B" w:rsidR="00935CA9" w:rsidRPr="0021398F" w:rsidRDefault="00935CA9" w:rsidP="00935CA9">
            <w:pPr>
              <w:spacing w:after="0" w:line="240" w:lineRule="auto"/>
              <w:rPr>
                <w:color w:val="000000"/>
              </w:rPr>
            </w:pPr>
            <w:r>
              <w:rPr>
                <w:color w:val="000000"/>
              </w:rPr>
              <w:t>.83</w:t>
            </w:r>
          </w:p>
        </w:tc>
        <w:tc>
          <w:tcPr>
            <w:tcW w:w="1440" w:type="dxa"/>
            <w:tcBorders>
              <w:top w:val="nil"/>
              <w:left w:val="nil"/>
              <w:bottom w:val="nil"/>
              <w:right w:val="nil"/>
            </w:tcBorders>
            <w:shd w:val="clear" w:color="auto" w:fill="auto"/>
            <w:noWrap/>
            <w:vAlign w:val="center"/>
            <w:hideMark/>
          </w:tcPr>
          <w:p w14:paraId="5D5946E3"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45014C27" w14:textId="77777777" w:rsidR="00935CA9" w:rsidRPr="0021398F" w:rsidRDefault="00935CA9" w:rsidP="00935CA9">
            <w:pPr>
              <w:spacing w:after="0" w:line="240" w:lineRule="auto"/>
              <w:rPr>
                <w:color w:val="000000"/>
              </w:rPr>
            </w:pPr>
            <w:r w:rsidRPr="0021398F">
              <w:rPr>
                <w:color w:val="000000"/>
              </w:rPr>
              <w:t>.64</w:t>
            </w:r>
          </w:p>
        </w:tc>
      </w:tr>
      <w:tr w:rsidR="00935CA9" w:rsidRPr="0021398F" w14:paraId="787827F4" w14:textId="77777777" w:rsidTr="00F866EA">
        <w:trPr>
          <w:trHeight w:val="299"/>
        </w:trPr>
        <w:tc>
          <w:tcPr>
            <w:tcW w:w="1923" w:type="dxa"/>
            <w:tcBorders>
              <w:top w:val="nil"/>
              <w:left w:val="nil"/>
              <w:bottom w:val="nil"/>
              <w:right w:val="nil"/>
            </w:tcBorders>
            <w:shd w:val="clear" w:color="auto" w:fill="auto"/>
            <w:noWrap/>
            <w:vAlign w:val="bottom"/>
            <w:hideMark/>
          </w:tcPr>
          <w:p w14:paraId="10D43857" w14:textId="77777777" w:rsidR="00935CA9" w:rsidRPr="0021398F" w:rsidRDefault="00935CA9" w:rsidP="00935CA9">
            <w:pPr>
              <w:spacing w:after="0" w:line="240" w:lineRule="auto"/>
              <w:jc w:val="left"/>
              <w:rPr>
                <w:color w:val="000000"/>
              </w:rPr>
            </w:pPr>
            <w:r w:rsidRPr="0021398F">
              <w:rPr>
                <w:color w:val="000000"/>
              </w:rPr>
              <w:t>Taiwan</w:t>
            </w:r>
          </w:p>
        </w:tc>
        <w:tc>
          <w:tcPr>
            <w:tcW w:w="1317" w:type="dxa"/>
            <w:tcBorders>
              <w:top w:val="nil"/>
              <w:left w:val="nil"/>
              <w:bottom w:val="nil"/>
              <w:right w:val="nil"/>
            </w:tcBorders>
            <w:shd w:val="clear" w:color="auto" w:fill="auto"/>
            <w:noWrap/>
            <w:vAlign w:val="bottom"/>
            <w:hideMark/>
          </w:tcPr>
          <w:p w14:paraId="388208B8" w14:textId="30B06B98" w:rsidR="00935CA9" w:rsidRPr="0021398F" w:rsidRDefault="00935CA9" w:rsidP="00935CA9">
            <w:pPr>
              <w:spacing w:after="0" w:line="240" w:lineRule="auto"/>
              <w:rPr>
                <w:color w:val="000000"/>
              </w:rPr>
            </w:pPr>
            <w:r>
              <w:rPr>
                <w:color w:val="000000"/>
              </w:rPr>
              <w:t>.88</w:t>
            </w:r>
          </w:p>
        </w:tc>
        <w:tc>
          <w:tcPr>
            <w:tcW w:w="1350" w:type="dxa"/>
            <w:tcBorders>
              <w:top w:val="nil"/>
              <w:left w:val="nil"/>
              <w:bottom w:val="nil"/>
              <w:right w:val="nil"/>
            </w:tcBorders>
            <w:shd w:val="clear" w:color="auto" w:fill="auto"/>
            <w:noWrap/>
            <w:vAlign w:val="bottom"/>
            <w:hideMark/>
          </w:tcPr>
          <w:p w14:paraId="6F954DA3" w14:textId="3EAF4E1C" w:rsidR="00935CA9" w:rsidRPr="0021398F" w:rsidRDefault="00935CA9" w:rsidP="00935CA9">
            <w:pPr>
              <w:spacing w:after="0" w:line="240" w:lineRule="auto"/>
              <w:rPr>
                <w:color w:val="000000"/>
              </w:rPr>
            </w:pPr>
            <w:r>
              <w:rPr>
                <w:color w:val="000000"/>
              </w:rPr>
              <w:t>.02</w:t>
            </w:r>
          </w:p>
        </w:tc>
        <w:tc>
          <w:tcPr>
            <w:tcW w:w="1440" w:type="dxa"/>
            <w:tcBorders>
              <w:top w:val="nil"/>
              <w:left w:val="nil"/>
              <w:bottom w:val="nil"/>
              <w:right w:val="nil"/>
            </w:tcBorders>
            <w:shd w:val="clear" w:color="auto" w:fill="auto"/>
            <w:noWrap/>
            <w:vAlign w:val="center"/>
            <w:hideMark/>
          </w:tcPr>
          <w:p w14:paraId="4DD05B67" w14:textId="77777777" w:rsidR="00935CA9" w:rsidRPr="0021398F" w:rsidRDefault="00935CA9" w:rsidP="00935CA9">
            <w:pPr>
              <w:spacing w:after="0" w:line="240" w:lineRule="auto"/>
              <w:rPr>
                <w:color w:val="000000"/>
              </w:rPr>
            </w:pPr>
            <w:r w:rsidRPr="0021398F">
              <w:rPr>
                <w:color w:val="000000"/>
              </w:rPr>
              <w:t>.86</w:t>
            </w:r>
          </w:p>
        </w:tc>
        <w:tc>
          <w:tcPr>
            <w:tcW w:w="1379" w:type="dxa"/>
            <w:tcBorders>
              <w:top w:val="nil"/>
              <w:left w:val="nil"/>
              <w:bottom w:val="nil"/>
              <w:right w:val="nil"/>
            </w:tcBorders>
            <w:shd w:val="clear" w:color="auto" w:fill="auto"/>
            <w:noWrap/>
            <w:vAlign w:val="bottom"/>
            <w:hideMark/>
          </w:tcPr>
          <w:p w14:paraId="4D4F5B8E" w14:textId="77777777" w:rsidR="00935CA9" w:rsidRPr="0021398F" w:rsidRDefault="00935CA9" w:rsidP="00935CA9">
            <w:pPr>
              <w:spacing w:after="0" w:line="240" w:lineRule="auto"/>
              <w:rPr>
                <w:color w:val="000000"/>
              </w:rPr>
            </w:pPr>
            <w:r w:rsidRPr="0021398F">
              <w:rPr>
                <w:color w:val="000000"/>
              </w:rPr>
              <w:t>.67</w:t>
            </w:r>
          </w:p>
        </w:tc>
      </w:tr>
      <w:tr w:rsidR="00935CA9" w:rsidRPr="0021398F" w14:paraId="4E0158CE" w14:textId="77777777" w:rsidTr="00F866EA">
        <w:trPr>
          <w:trHeight w:val="299"/>
        </w:trPr>
        <w:tc>
          <w:tcPr>
            <w:tcW w:w="1923" w:type="dxa"/>
            <w:tcBorders>
              <w:top w:val="nil"/>
              <w:left w:val="nil"/>
              <w:bottom w:val="nil"/>
              <w:right w:val="nil"/>
            </w:tcBorders>
            <w:shd w:val="clear" w:color="auto" w:fill="auto"/>
            <w:noWrap/>
            <w:vAlign w:val="bottom"/>
            <w:hideMark/>
          </w:tcPr>
          <w:p w14:paraId="34A1C5E2" w14:textId="77777777" w:rsidR="00935CA9" w:rsidRPr="0021398F" w:rsidRDefault="00935CA9" w:rsidP="00935CA9">
            <w:pPr>
              <w:spacing w:after="0" w:line="240" w:lineRule="auto"/>
              <w:jc w:val="left"/>
              <w:rPr>
                <w:color w:val="000000"/>
              </w:rPr>
            </w:pPr>
            <w:r w:rsidRPr="0021398F">
              <w:rPr>
                <w:color w:val="000000"/>
              </w:rPr>
              <w:t>Thailand</w:t>
            </w:r>
          </w:p>
        </w:tc>
        <w:tc>
          <w:tcPr>
            <w:tcW w:w="1317" w:type="dxa"/>
            <w:tcBorders>
              <w:top w:val="nil"/>
              <w:left w:val="nil"/>
              <w:bottom w:val="nil"/>
              <w:right w:val="nil"/>
            </w:tcBorders>
            <w:shd w:val="clear" w:color="auto" w:fill="auto"/>
            <w:noWrap/>
            <w:vAlign w:val="bottom"/>
            <w:hideMark/>
          </w:tcPr>
          <w:p w14:paraId="3D314DE3" w14:textId="0EB75925" w:rsidR="00935CA9" w:rsidRPr="0021398F" w:rsidRDefault="00935CA9" w:rsidP="00935CA9">
            <w:pPr>
              <w:spacing w:after="0" w:line="240" w:lineRule="auto"/>
              <w:rPr>
                <w:color w:val="000000"/>
              </w:rPr>
            </w:pPr>
            <w:r>
              <w:rPr>
                <w:color w:val="000000"/>
              </w:rPr>
              <w:t>.89</w:t>
            </w:r>
          </w:p>
        </w:tc>
        <w:tc>
          <w:tcPr>
            <w:tcW w:w="1350" w:type="dxa"/>
            <w:tcBorders>
              <w:top w:val="nil"/>
              <w:left w:val="nil"/>
              <w:bottom w:val="nil"/>
              <w:right w:val="nil"/>
            </w:tcBorders>
            <w:shd w:val="clear" w:color="auto" w:fill="auto"/>
            <w:noWrap/>
            <w:vAlign w:val="bottom"/>
            <w:hideMark/>
          </w:tcPr>
          <w:p w14:paraId="2785CEB0" w14:textId="4F0455F8" w:rsidR="00935CA9" w:rsidRPr="0021398F" w:rsidRDefault="00935CA9" w:rsidP="00935CA9">
            <w:pPr>
              <w:spacing w:after="0" w:line="240" w:lineRule="auto"/>
              <w:rPr>
                <w:color w:val="000000"/>
              </w:rPr>
            </w:pPr>
            <w:r>
              <w:rPr>
                <w:color w:val="000000"/>
              </w:rPr>
              <w:t>.02</w:t>
            </w:r>
          </w:p>
        </w:tc>
        <w:tc>
          <w:tcPr>
            <w:tcW w:w="1440" w:type="dxa"/>
            <w:tcBorders>
              <w:top w:val="nil"/>
              <w:left w:val="nil"/>
              <w:bottom w:val="nil"/>
              <w:right w:val="nil"/>
            </w:tcBorders>
            <w:shd w:val="clear" w:color="auto" w:fill="auto"/>
            <w:noWrap/>
            <w:vAlign w:val="center"/>
            <w:hideMark/>
          </w:tcPr>
          <w:p w14:paraId="53570BE1" w14:textId="77777777" w:rsidR="00935CA9" w:rsidRPr="0021398F" w:rsidRDefault="00935CA9" w:rsidP="00935CA9">
            <w:pPr>
              <w:spacing w:after="0" w:line="240" w:lineRule="auto"/>
              <w:rPr>
                <w:color w:val="000000"/>
              </w:rPr>
            </w:pPr>
            <w:r w:rsidRPr="0021398F">
              <w:rPr>
                <w:color w:val="000000"/>
              </w:rPr>
              <w:t>.86</w:t>
            </w:r>
          </w:p>
        </w:tc>
        <w:tc>
          <w:tcPr>
            <w:tcW w:w="1379" w:type="dxa"/>
            <w:tcBorders>
              <w:top w:val="nil"/>
              <w:left w:val="nil"/>
              <w:bottom w:val="nil"/>
              <w:right w:val="nil"/>
            </w:tcBorders>
            <w:shd w:val="clear" w:color="auto" w:fill="auto"/>
            <w:noWrap/>
            <w:vAlign w:val="bottom"/>
            <w:hideMark/>
          </w:tcPr>
          <w:p w14:paraId="4D6F9DB0" w14:textId="77777777" w:rsidR="00935CA9" w:rsidRPr="0021398F" w:rsidRDefault="00935CA9" w:rsidP="00935CA9">
            <w:pPr>
              <w:spacing w:after="0" w:line="240" w:lineRule="auto"/>
              <w:rPr>
                <w:color w:val="000000"/>
              </w:rPr>
            </w:pPr>
            <w:r w:rsidRPr="0021398F">
              <w:rPr>
                <w:color w:val="000000"/>
              </w:rPr>
              <w:t>.67</w:t>
            </w:r>
          </w:p>
        </w:tc>
      </w:tr>
      <w:tr w:rsidR="00935CA9" w:rsidRPr="0021398F" w14:paraId="6F6BF8B9" w14:textId="77777777" w:rsidTr="00F866EA">
        <w:trPr>
          <w:trHeight w:val="299"/>
        </w:trPr>
        <w:tc>
          <w:tcPr>
            <w:tcW w:w="1923" w:type="dxa"/>
            <w:tcBorders>
              <w:top w:val="nil"/>
              <w:left w:val="nil"/>
              <w:bottom w:val="nil"/>
              <w:right w:val="nil"/>
            </w:tcBorders>
            <w:shd w:val="clear" w:color="auto" w:fill="auto"/>
            <w:noWrap/>
            <w:vAlign w:val="bottom"/>
            <w:hideMark/>
          </w:tcPr>
          <w:p w14:paraId="24B8B7F2" w14:textId="77777777" w:rsidR="00935CA9" w:rsidRPr="0021398F" w:rsidRDefault="00935CA9" w:rsidP="00935CA9">
            <w:pPr>
              <w:spacing w:after="0" w:line="240" w:lineRule="auto"/>
              <w:jc w:val="left"/>
              <w:rPr>
                <w:color w:val="000000"/>
              </w:rPr>
            </w:pPr>
            <w:r w:rsidRPr="0021398F">
              <w:rPr>
                <w:color w:val="000000"/>
              </w:rPr>
              <w:t>Turkey</w:t>
            </w:r>
          </w:p>
        </w:tc>
        <w:tc>
          <w:tcPr>
            <w:tcW w:w="1317" w:type="dxa"/>
            <w:tcBorders>
              <w:top w:val="nil"/>
              <w:left w:val="nil"/>
              <w:bottom w:val="nil"/>
              <w:right w:val="nil"/>
            </w:tcBorders>
            <w:shd w:val="clear" w:color="auto" w:fill="auto"/>
            <w:noWrap/>
            <w:vAlign w:val="bottom"/>
            <w:hideMark/>
          </w:tcPr>
          <w:p w14:paraId="5D7581F9" w14:textId="75A90752" w:rsidR="00935CA9" w:rsidRPr="0021398F" w:rsidRDefault="00935CA9" w:rsidP="00935CA9">
            <w:pPr>
              <w:spacing w:after="0" w:line="240" w:lineRule="auto"/>
              <w:rPr>
                <w:color w:val="000000"/>
              </w:rPr>
            </w:pPr>
            <w:r>
              <w:rPr>
                <w:color w:val="000000"/>
              </w:rPr>
              <w:t>.87</w:t>
            </w:r>
          </w:p>
        </w:tc>
        <w:tc>
          <w:tcPr>
            <w:tcW w:w="1350" w:type="dxa"/>
            <w:tcBorders>
              <w:top w:val="nil"/>
              <w:left w:val="nil"/>
              <w:bottom w:val="nil"/>
              <w:right w:val="nil"/>
            </w:tcBorders>
            <w:shd w:val="clear" w:color="auto" w:fill="auto"/>
            <w:noWrap/>
            <w:vAlign w:val="bottom"/>
            <w:hideMark/>
          </w:tcPr>
          <w:p w14:paraId="00081D1B" w14:textId="0F23CB73" w:rsidR="00935CA9" w:rsidRPr="0021398F" w:rsidRDefault="00935CA9" w:rsidP="00935CA9">
            <w:pPr>
              <w:spacing w:after="0" w:line="240" w:lineRule="auto"/>
              <w:rPr>
                <w:color w:val="000000"/>
              </w:rPr>
            </w:pPr>
            <w:r>
              <w:rPr>
                <w:color w:val="000000"/>
              </w:rPr>
              <w:t>.84</w:t>
            </w:r>
          </w:p>
        </w:tc>
        <w:tc>
          <w:tcPr>
            <w:tcW w:w="1440" w:type="dxa"/>
            <w:tcBorders>
              <w:top w:val="nil"/>
              <w:left w:val="nil"/>
              <w:bottom w:val="nil"/>
              <w:right w:val="nil"/>
            </w:tcBorders>
            <w:shd w:val="clear" w:color="auto" w:fill="auto"/>
            <w:noWrap/>
            <w:vAlign w:val="center"/>
            <w:hideMark/>
          </w:tcPr>
          <w:p w14:paraId="52513AA6" w14:textId="77777777" w:rsidR="00935CA9" w:rsidRPr="0021398F" w:rsidRDefault="00935CA9" w:rsidP="00935CA9">
            <w:pPr>
              <w:spacing w:after="0" w:line="240" w:lineRule="auto"/>
              <w:rPr>
                <w:color w:val="000000"/>
              </w:rPr>
            </w:pPr>
            <w:r w:rsidRPr="0021398F">
              <w:rPr>
                <w:color w:val="000000"/>
              </w:rPr>
              <w:t>.83</w:t>
            </w:r>
          </w:p>
        </w:tc>
        <w:tc>
          <w:tcPr>
            <w:tcW w:w="1379" w:type="dxa"/>
            <w:tcBorders>
              <w:top w:val="nil"/>
              <w:left w:val="nil"/>
              <w:bottom w:val="nil"/>
              <w:right w:val="nil"/>
            </w:tcBorders>
            <w:shd w:val="clear" w:color="auto" w:fill="auto"/>
            <w:noWrap/>
            <w:vAlign w:val="bottom"/>
            <w:hideMark/>
          </w:tcPr>
          <w:p w14:paraId="1143C1BC" w14:textId="77777777" w:rsidR="00935CA9" w:rsidRPr="0021398F" w:rsidRDefault="00935CA9" w:rsidP="00935CA9">
            <w:pPr>
              <w:spacing w:after="0" w:line="240" w:lineRule="auto"/>
              <w:rPr>
                <w:color w:val="000000"/>
              </w:rPr>
            </w:pPr>
            <w:r w:rsidRPr="0021398F">
              <w:rPr>
                <w:color w:val="000000"/>
              </w:rPr>
              <w:t>.64</w:t>
            </w:r>
          </w:p>
        </w:tc>
      </w:tr>
      <w:tr w:rsidR="00935CA9" w:rsidRPr="0021398F" w14:paraId="6F3D0F3D" w14:textId="77777777" w:rsidTr="00F866EA">
        <w:trPr>
          <w:trHeight w:val="299"/>
        </w:trPr>
        <w:tc>
          <w:tcPr>
            <w:tcW w:w="1923" w:type="dxa"/>
            <w:tcBorders>
              <w:top w:val="nil"/>
              <w:left w:val="nil"/>
              <w:bottom w:val="nil"/>
              <w:right w:val="nil"/>
            </w:tcBorders>
            <w:shd w:val="clear" w:color="auto" w:fill="auto"/>
            <w:noWrap/>
            <w:vAlign w:val="bottom"/>
            <w:hideMark/>
          </w:tcPr>
          <w:p w14:paraId="1C31D096" w14:textId="77777777" w:rsidR="00935CA9" w:rsidRPr="0021398F" w:rsidRDefault="00935CA9" w:rsidP="00935CA9">
            <w:pPr>
              <w:spacing w:after="0" w:line="240" w:lineRule="auto"/>
              <w:jc w:val="left"/>
              <w:rPr>
                <w:color w:val="000000"/>
              </w:rPr>
            </w:pPr>
            <w:r w:rsidRPr="0021398F">
              <w:rPr>
                <w:color w:val="000000"/>
              </w:rPr>
              <w:t>Uganda</w:t>
            </w:r>
          </w:p>
        </w:tc>
        <w:tc>
          <w:tcPr>
            <w:tcW w:w="1317" w:type="dxa"/>
            <w:tcBorders>
              <w:top w:val="nil"/>
              <w:left w:val="nil"/>
              <w:bottom w:val="nil"/>
              <w:right w:val="nil"/>
            </w:tcBorders>
            <w:shd w:val="clear" w:color="auto" w:fill="auto"/>
            <w:noWrap/>
            <w:vAlign w:val="bottom"/>
            <w:hideMark/>
          </w:tcPr>
          <w:p w14:paraId="3E1BDC3D" w14:textId="153752C5" w:rsidR="00935CA9" w:rsidRPr="0021398F" w:rsidRDefault="00935CA9" w:rsidP="00935CA9">
            <w:pPr>
              <w:spacing w:after="0" w:line="240" w:lineRule="auto"/>
              <w:rPr>
                <w:color w:val="000000"/>
              </w:rPr>
            </w:pPr>
            <w:r>
              <w:rPr>
                <w:color w:val="000000"/>
              </w:rPr>
              <w:t>.69</w:t>
            </w:r>
          </w:p>
        </w:tc>
        <w:tc>
          <w:tcPr>
            <w:tcW w:w="1350" w:type="dxa"/>
            <w:tcBorders>
              <w:top w:val="nil"/>
              <w:left w:val="nil"/>
              <w:bottom w:val="nil"/>
              <w:right w:val="nil"/>
            </w:tcBorders>
            <w:shd w:val="clear" w:color="auto" w:fill="auto"/>
            <w:noWrap/>
            <w:vAlign w:val="bottom"/>
            <w:hideMark/>
          </w:tcPr>
          <w:p w14:paraId="4DDCF084" w14:textId="2DA8AB6C" w:rsidR="00935CA9" w:rsidRPr="0021398F" w:rsidRDefault="00935CA9" w:rsidP="00935CA9">
            <w:pPr>
              <w:spacing w:after="0" w:line="240" w:lineRule="auto"/>
              <w:rPr>
                <w:color w:val="000000"/>
              </w:rPr>
            </w:pPr>
            <w:r>
              <w:rPr>
                <w:color w:val="000000"/>
              </w:rPr>
              <w:t>.20</w:t>
            </w:r>
          </w:p>
        </w:tc>
        <w:tc>
          <w:tcPr>
            <w:tcW w:w="1440" w:type="dxa"/>
            <w:tcBorders>
              <w:top w:val="nil"/>
              <w:left w:val="nil"/>
              <w:bottom w:val="nil"/>
              <w:right w:val="nil"/>
            </w:tcBorders>
            <w:shd w:val="clear" w:color="auto" w:fill="auto"/>
            <w:noWrap/>
            <w:vAlign w:val="center"/>
            <w:hideMark/>
          </w:tcPr>
          <w:p w14:paraId="3003E86C" w14:textId="77777777" w:rsidR="00935CA9" w:rsidRPr="0021398F" w:rsidRDefault="00935CA9" w:rsidP="00935CA9">
            <w:pPr>
              <w:spacing w:after="0" w:line="240" w:lineRule="auto"/>
              <w:rPr>
                <w:color w:val="000000"/>
              </w:rPr>
            </w:pPr>
            <w:r w:rsidRPr="0021398F">
              <w:rPr>
                <w:color w:val="000000"/>
              </w:rPr>
              <w:t>.20</w:t>
            </w:r>
          </w:p>
        </w:tc>
        <w:tc>
          <w:tcPr>
            <w:tcW w:w="1379" w:type="dxa"/>
            <w:tcBorders>
              <w:top w:val="nil"/>
              <w:left w:val="nil"/>
              <w:bottom w:val="nil"/>
              <w:right w:val="nil"/>
            </w:tcBorders>
            <w:shd w:val="clear" w:color="auto" w:fill="auto"/>
            <w:noWrap/>
            <w:vAlign w:val="bottom"/>
            <w:hideMark/>
          </w:tcPr>
          <w:p w14:paraId="20F8435D" w14:textId="77777777" w:rsidR="00935CA9" w:rsidRPr="0021398F" w:rsidRDefault="00935CA9" w:rsidP="00935CA9">
            <w:pPr>
              <w:spacing w:after="0" w:line="240" w:lineRule="auto"/>
              <w:rPr>
                <w:color w:val="000000"/>
              </w:rPr>
            </w:pPr>
            <w:r w:rsidRPr="0021398F">
              <w:rPr>
                <w:color w:val="000000"/>
              </w:rPr>
              <w:t>.49</w:t>
            </w:r>
          </w:p>
        </w:tc>
      </w:tr>
      <w:tr w:rsidR="00935CA9" w:rsidRPr="0021398F" w14:paraId="28E0C2C7" w14:textId="77777777" w:rsidTr="00F866EA">
        <w:trPr>
          <w:trHeight w:val="299"/>
        </w:trPr>
        <w:tc>
          <w:tcPr>
            <w:tcW w:w="1923" w:type="dxa"/>
            <w:tcBorders>
              <w:top w:val="nil"/>
              <w:left w:val="nil"/>
              <w:bottom w:val="nil"/>
              <w:right w:val="nil"/>
            </w:tcBorders>
            <w:shd w:val="clear" w:color="auto" w:fill="auto"/>
            <w:noWrap/>
            <w:vAlign w:val="bottom"/>
            <w:hideMark/>
          </w:tcPr>
          <w:p w14:paraId="147E89CE" w14:textId="77777777" w:rsidR="00935CA9" w:rsidRPr="0021398F" w:rsidRDefault="00935CA9" w:rsidP="00935CA9">
            <w:pPr>
              <w:spacing w:after="0" w:line="240" w:lineRule="auto"/>
              <w:jc w:val="left"/>
              <w:rPr>
                <w:color w:val="000000"/>
              </w:rPr>
            </w:pPr>
            <w:r w:rsidRPr="0021398F">
              <w:rPr>
                <w:color w:val="000000"/>
              </w:rPr>
              <w:t>Ukraine</w:t>
            </w:r>
          </w:p>
        </w:tc>
        <w:tc>
          <w:tcPr>
            <w:tcW w:w="1317" w:type="dxa"/>
            <w:tcBorders>
              <w:top w:val="nil"/>
              <w:left w:val="nil"/>
              <w:bottom w:val="nil"/>
              <w:right w:val="nil"/>
            </w:tcBorders>
            <w:shd w:val="clear" w:color="auto" w:fill="auto"/>
            <w:noWrap/>
            <w:vAlign w:val="bottom"/>
            <w:hideMark/>
          </w:tcPr>
          <w:p w14:paraId="55795404" w14:textId="6DC8B82A" w:rsidR="00935CA9" w:rsidRPr="0021398F" w:rsidRDefault="00935CA9" w:rsidP="00935CA9">
            <w:pPr>
              <w:spacing w:after="0" w:line="240" w:lineRule="auto"/>
              <w:rPr>
                <w:color w:val="000000"/>
              </w:rPr>
            </w:pPr>
            <w:r>
              <w:rPr>
                <w:color w:val="000000"/>
              </w:rPr>
              <w:t>.82</w:t>
            </w:r>
          </w:p>
        </w:tc>
        <w:tc>
          <w:tcPr>
            <w:tcW w:w="1350" w:type="dxa"/>
            <w:tcBorders>
              <w:top w:val="nil"/>
              <w:left w:val="nil"/>
              <w:bottom w:val="nil"/>
              <w:right w:val="nil"/>
            </w:tcBorders>
            <w:shd w:val="clear" w:color="auto" w:fill="auto"/>
            <w:noWrap/>
            <w:vAlign w:val="bottom"/>
            <w:hideMark/>
          </w:tcPr>
          <w:p w14:paraId="2A98EF6D" w14:textId="35CAD32A" w:rsidR="00935CA9" w:rsidRPr="0021398F" w:rsidRDefault="00935CA9" w:rsidP="00935CA9">
            <w:pPr>
              <w:spacing w:after="0" w:line="240" w:lineRule="auto"/>
              <w:rPr>
                <w:color w:val="000000"/>
              </w:rPr>
            </w:pPr>
            <w:r>
              <w:rPr>
                <w:color w:val="000000"/>
              </w:rPr>
              <w:t>.42</w:t>
            </w:r>
          </w:p>
        </w:tc>
        <w:tc>
          <w:tcPr>
            <w:tcW w:w="1440" w:type="dxa"/>
            <w:tcBorders>
              <w:top w:val="nil"/>
              <w:left w:val="nil"/>
              <w:bottom w:val="nil"/>
              <w:right w:val="nil"/>
            </w:tcBorders>
            <w:shd w:val="clear" w:color="auto" w:fill="auto"/>
            <w:noWrap/>
            <w:vAlign w:val="center"/>
            <w:hideMark/>
          </w:tcPr>
          <w:p w14:paraId="4825F77F" w14:textId="77777777" w:rsidR="00935CA9" w:rsidRPr="0021398F" w:rsidRDefault="00935CA9" w:rsidP="00935CA9">
            <w:pPr>
              <w:spacing w:after="0" w:line="240" w:lineRule="auto"/>
              <w:rPr>
                <w:color w:val="000000"/>
              </w:rPr>
            </w:pPr>
            <w:r w:rsidRPr="0021398F">
              <w:rPr>
                <w:color w:val="000000"/>
              </w:rPr>
              <w:t>.75</w:t>
            </w:r>
          </w:p>
        </w:tc>
        <w:tc>
          <w:tcPr>
            <w:tcW w:w="1379" w:type="dxa"/>
            <w:tcBorders>
              <w:top w:val="nil"/>
              <w:left w:val="nil"/>
              <w:bottom w:val="nil"/>
              <w:right w:val="nil"/>
            </w:tcBorders>
            <w:shd w:val="clear" w:color="auto" w:fill="auto"/>
            <w:noWrap/>
            <w:vAlign w:val="bottom"/>
            <w:hideMark/>
          </w:tcPr>
          <w:p w14:paraId="7394A73D" w14:textId="77777777" w:rsidR="00935CA9" w:rsidRPr="0021398F" w:rsidRDefault="00935CA9" w:rsidP="00935CA9">
            <w:pPr>
              <w:spacing w:after="0" w:line="240" w:lineRule="auto"/>
              <w:rPr>
                <w:color w:val="000000"/>
              </w:rPr>
            </w:pPr>
            <w:r w:rsidRPr="0021398F">
              <w:rPr>
                <w:color w:val="000000"/>
              </w:rPr>
              <w:t>.57</w:t>
            </w:r>
          </w:p>
        </w:tc>
      </w:tr>
      <w:tr w:rsidR="00935CA9" w:rsidRPr="0021398F" w14:paraId="2C5C015D" w14:textId="77777777" w:rsidTr="00F866EA">
        <w:trPr>
          <w:trHeight w:val="299"/>
        </w:trPr>
        <w:tc>
          <w:tcPr>
            <w:tcW w:w="1923" w:type="dxa"/>
            <w:tcBorders>
              <w:top w:val="nil"/>
              <w:left w:val="nil"/>
              <w:bottom w:val="nil"/>
              <w:right w:val="nil"/>
            </w:tcBorders>
            <w:shd w:val="clear" w:color="auto" w:fill="auto"/>
            <w:noWrap/>
            <w:vAlign w:val="bottom"/>
            <w:hideMark/>
          </w:tcPr>
          <w:p w14:paraId="519D0A42" w14:textId="77777777" w:rsidR="00935CA9" w:rsidRPr="0021398F" w:rsidRDefault="00935CA9" w:rsidP="00935CA9">
            <w:pPr>
              <w:spacing w:after="0" w:line="240" w:lineRule="auto"/>
              <w:jc w:val="left"/>
              <w:rPr>
                <w:color w:val="000000"/>
              </w:rPr>
            </w:pPr>
            <w:r w:rsidRPr="0021398F">
              <w:rPr>
                <w:color w:val="000000"/>
              </w:rPr>
              <w:t>United Kingdom</w:t>
            </w:r>
          </w:p>
        </w:tc>
        <w:tc>
          <w:tcPr>
            <w:tcW w:w="1317" w:type="dxa"/>
            <w:tcBorders>
              <w:top w:val="nil"/>
              <w:left w:val="nil"/>
              <w:bottom w:val="nil"/>
              <w:right w:val="nil"/>
            </w:tcBorders>
            <w:shd w:val="clear" w:color="auto" w:fill="auto"/>
            <w:noWrap/>
            <w:vAlign w:val="bottom"/>
            <w:hideMark/>
          </w:tcPr>
          <w:p w14:paraId="109F6823" w14:textId="74A8662B" w:rsidR="00935CA9" w:rsidRPr="0021398F" w:rsidRDefault="00935CA9" w:rsidP="00935CA9">
            <w:pPr>
              <w:spacing w:after="0" w:line="240" w:lineRule="auto"/>
              <w:rPr>
                <w:color w:val="000000"/>
              </w:rPr>
            </w:pPr>
            <w:r>
              <w:rPr>
                <w:color w:val="000000"/>
              </w:rPr>
              <w:t>.94</w:t>
            </w:r>
          </w:p>
        </w:tc>
        <w:tc>
          <w:tcPr>
            <w:tcW w:w="1350" w:type="dxa"/>
            <w:tcBorders>
              <w:top w:val="nil"/>
              <w:left w:val="nil"/>
              <w:bottom w:val="nil"/>
              <w:right w:val="nil"/>
            </w:tcBorders>
            <w:shd w:val="clear" w:color="auto" w:fill="auto"/>
            <w:noWrap/>
            <w:vAlign w:val="bottom"/>
            <w:hideMark/>
          </w:tcPr>
          <w:p w14:paraId="4E6AB83E" w14:textId="2FDFE8E0" w:rsidR="00935CA9" w:rsidRPr="0021398F" w:rsidRDefault="00935CA9" w:rsidP="00935CA9">
            <w:pPr>
              <w:spacing w:after="0" w:line="240" w:lineRule="auto"/>
              <w:rPr>
                <w:color w:val="000000"/>
              </w:rPr>
            </w:pPr>
            <w:r>
              <w:rPr>
                <w:color w:val="000000"/>
              </w:rPr>
              <w:t>.86</w:t>
            </w:r>
          </w:p>
        </w:tc>
        <w:tc>
          <w:tcPr>
            <w:tcW w:w="1440" w:type="dxa"/>
            <w:tcBorders>
              <w:top w:val="nil"/>
              <w:left w:val="nil"/>
              <w:bottom w:val="nil"/>
              <w:right w:val="nil"/>
            </w:tcBorders>
            <w:shd w:val="clear" w:color="auto" w:fill="auto"/>
            <w:noWrap/>
            <w:vAlign w:val="center"/>
            <w:hideMark/>
          </w:tcPr>
          <w:p w14:paraId="6F2AFED5" w14:textId="77777777" w:rsidR="00935CA9" w:rsidRPr="0021398F" w:rsidRDefault="00935CA9" w:rsidP="00935CA9">
            <w:pPr>
              <w:spacing w:after="0" w:line="240" w:lineRule="auto"/>
              <w:rPr>
                <w:color w:val="000000"/>
              </w:rPr>
            </w:pPr>
            <w:r w:rsidRPr="0021398F">
              <w:rPr>
                <w:color w:val="000000"/>
              </w:rPr>
              <w:t>.88</w:t>
            </w:r>
          </w:p>
        </w:tc>
        <w:tc>
          <w:tcPr>
            <w:tcW w:w="1379" w:type="dxa"/>
            <w:tcBorders>
              <w:top w:val="nil"/>
              <w:left w:val="nil"/>
              <w:bottom w:val="nil"/>
              <w:right w:val="nil"/>
            </w:tcBorders>
            <w:shd w:val="clear" w:color="auto" w:fill="auto"/>
            <w:noWrap/>
            <w:vAlign w:val="bottom"/>
            <w:hideMark/>
          </w:tcPr>
          <w:p w14:paraId="5F7F2930" w14:textId="77777777" w:rsidR="00935CA9" w:rsidRPr="0021398F" w:rsidRDefault="00935CA9" w:rsidP="00935CA9">
            <w:pPr>
              <w:spacing w:after="0" w:line="240" w:lineRule="auto"/>
              <w:rPr>
                <w:color w:val="000000"/>
              </w:rPr>
            </w:pPr>
            <w:r w:rsidRPr="0021398F">
              <w:rPr>
                <w:color w:val="000000"/>
              </w:rPr>
              <w:t>.80</w:t>
            </w:r>
          </w:p>
        </w:tc>
      </w:tr>
      <w:tr w:rsidR="00935CA9" w:rsidRPr="0021398F" w14:paraId="3B655265" w14:textId="77777777" w:rsidTr="00F866EA">
        <w:trPr>
          <w:trHeight w:val="299"/>
        </w:trPr>
        <w:tc>
          <w:tcPr>
            <w:tcW w:w="1923" w:type="dxa"/>
            <w:tcBorders>
              <w:top w:val="nil"/>
              <w:left w:val="nil"/>
              <w:bottom w:val="nil"/>
              <w:right w:val="nil"/>
            </w:tcBorders>
            <w:shd w:val="clear" w:color="auto" w:fill="auto"/>
            <w:noWrap/>
            <w:vAlign w:val="bottom"/>
            <w:hideMark/>
          </w:tcPr>
          <w:p w14:paraId="60AD07FA" w14:textId="77777777" w:rsidR="00935CA9" w:rsidRPr="0021398F" w:rsidRDefault="00935CA9" w:rsidP="00935CA9">
            <w:pPr>
              <w:spacing w:after="0" w:line="240" w:lineRule="auto"/>
              <w:jc w:val="left"/>
              <w:rPr>
                <w:color w:val="000000"/>
              </w:rPr>
            </w:pPr>
            <w:r w:rsidRPr="0021398F">
              <w:rPr>
                <w:color w:val="000000"/>
              </w:rPr>
              <w:t>United States</w:t>
            </w:r>
          </w:p>
        </w:tc>
        <w:tc>
          <w:tcPr>
            <w:tcW w:w="1317" w:type="dxa"/>
            <w:tcBorders>
              <w:top w:val="nil"/>
              <w:left w:val="nil"/>
              <w:bottom w:val="nil"/>
              <w:right w:val="nil"/>
            </w:tcBorders>
            <w:shd w:val="clear" w:color="auto" w:fill="auto"/>
            <w:noWrap/>
            <w:vAlign w:val="bottom"/>
            <w:hideMark/>
          </w:tcPr>
          <w:p w14:paraId="6917EEB0" w14:textId="589FBDF3" w:rsidR="00935CA9" w:rsidRPr="0021398F" w:rsidRDefault="00935CA9" w:rsidP="00935CA9">
            <w:pPr>
              <w:spacing w:after="0" w:line="240" w:lineRule="auto"/>
              <w:rPr>
                <w:color w:val="000000"/>
              </w:rPr>
            </w:pPr>
            <w:r>
              <w:rPr>
                <w:color w:val="000000"/>
              </w:rPr>
              <w:t>.87</w:t>
            </w:r>
          </w:p>
        </w:tc>
        <w:tc>
          <w:tcPr>
            <w:tcW w:w="1350" w:type="dxa"/>
            <w:tcBorders>
              <w:top w:val="nil"/>
              <w:left w:val="nil"/>
              <w:bottom w:val="nil"/>
              <w:right w:val="nil"/>
            </w:tcBorders>
            <w:shd w:val="clear" w:color="auto" w:fill="auto"/>
            <w:noWrap/>
            <w:vAlign w:val="bottom"/>
            <w:hideMark/>
          </w:tcPr>
          <w:p w14:paraId="562CD337" w14:textId="5A90262C" w:rsidR="00935CA9" w:rsidRPr="0021398F" w:rsidRDefault="00935CA9" w:rsidP="00935CA9">
            <w:pPr>
              <w:spacing w:after="0" w:line="240" w:lineRule="auto"/>
              <w:rPr>
                <w:color w:val="000000"/>
              </w:rPr>
            </w:pPr>
            <w:r>
              <w:rPr>
                <w:color w:val="000000"/>
              </w:rPr>
              <w:t>.84</w:t>
            </w:r>
          </w:p>
        </w:tc>
        <w:tc>
          <w:tcPr>
            <w:tcW w:w="1440" w:type="dxa"/>
            <w:tcBorders>
              <w:top w:val="nil"/>
              <w:left w:val="nil"/>
              <w:bottom w:val="nil"/>
              <w:right w:val="nil"/>
            </w:tcBorders>
            <w:shd w:val="clear" w:color="auto" w:fill="auto"/>
            <w:noWrap/>
            <w:vAlign w:val="center"/>
            <w:hideMark/>
          </w:tcPr>
          <w:p w14:paraId="10AFD9CC" w14:textId="77777777" w:rsidR="00935CA9" w:rsidRPr="0021398F" w:rsidRDefault="00935CA9" w:rsidP="00935CA9">
            <w:pPr>
              <w:spacing w:after="0" w:line="240" w:lineRule="auto"/>
              <w:rPr>
                <w:color w:val="000000"/>
              </w:rPr>
            </w:pPr>
            <w:r w:rsidRPr="0021398F">
              <w:rPr>
                <w:color w:val="000000"/>
              </w:rPr>
              <w:t>.82</w:t>
            </w:r>
          </w:p>
        </w:tc>
        <w:tc>
          <w:tcPr>
            <w:tcW w:w="1379" w:type="dxa"/>
            <w:tcBorders>
              <w:top w:val="nil"/>
              <w:left w:val="nil"/>
              <w:bottom w:val="nil"/>
              <w:right w:val="nil"/>
            </w:tcBorders>
            <w:shd w:val="clear" w:color="auto" w:fill="auto"/>
            <w:noWrap/>
            <w:vAlign w:val="bottom"/>
            <w:hideMark/>
          </w:tcPr>
          <w:p w14:paraId="45432167" w14:textId="77777777" w:rsidR="00935CA9" w:rsidRPr="0021398F" w:rsidRDefault="00935CA9" w:rsidP="00935CA9">
            <w:pPr>
              <w:spacing w:after="0" w:line="240" w:lineRule="auto"/>
              <w:rPr>
                <w:color w:val="000000"/>
              </w:rPr>
            </w:pPr>
            <w:r w:rsidRPr="0021398F">
              <w:rPr>
                <w:color w:val="000000"/>
              </w:rPr>
              <w:t>.64</w:t>
            </w:r>
          </w:p>
        </w:tc>
      </w:tr>
      <w:tr w:rsidR="00935CA9" w:rsidRPr="0021398F" w14:paraId="3D381DB7" w14:textId="77777777" w:rsidTr="00F866EA">
        <w:trPr>
          <w:trHeight w:val="299"/>
        </w:trPr>
        <w:tc>
          <w:tcPr>
            <w:tcW w:w="1923" w:type="dxa"/>
            <w:tcBorders>
              <w:top w:val="nil"/>
              <w:left w:val="nil"/>
              <w:bottom w:val="single" w:sz="4" w:space="0" w:color="auto"/>
              <w:right w:val="nil"/>
            </w:tcBorders>
            <w:shd w:val="clear" w:color="auto" w:fill="auto"/>
            <w:noWrap/>
            <w:vAlign w:val="bottom"/>
            <w:hideMark/>
          </w:tcPr>
          <w:p w14:paraId="3916CEB3" w14:textId="77777777" w:rsidR="00935CA9" w:rsidRPr="0021398F" w:rsidRDefault="00935CA9" w:rsidP="00935CA9">
            <w:pPr>
              <w:spacing w:after="0" w:line="240" w:lineRule="auto"/>
              <w:jc w:val="left"/>
              <w:rPr>
                <w:color w:val="000000"/>
              </w:rPr>
            </w:pPr>
            <w:r w:rsidRPr="0021398F">
              <w:rPr>
                <w:color w:val="000000"/>
              </w:rPr>
              <w:t>Vietnam</w:t>
            </w:r>
          </w:p>
        </w:tc>
        <w:tc>
          <w:tcPr>
            <w:tcW w:w="1317" w:type="dxa"/>
            <w:tcBorders>
              <w:top w:val="nil"/>
              <w:left w:val="nil"/>
              <w:bottom w:val="single" w:sz="4" w:space="0" w:color="auto"/>
              <w:right w:val="nil"/>
            </w:tcBorders>
            <w:shd w:val="clear" w:color="auto" w:fill="auto"/>
            <w:noWrap/>
            <w:vAlign w:val="bottom"/>
            <w:hideMark/>
          </w:tcPr>
          <w:p w14:paraId="3B0472FB" w14:textId="5353E5F3" w:rsidR="00935CA9" w:rsidRPr="0021398F" w:rsidRDefault="00935CA9" w:rsidP="00935CA9">
            <w:pPr>
              <w:spacing w:after="0" w:line="240" w:lineRule="auto"/>
              <w:rPr>
                <w:color w:val="000000"/>
              </w:rPr>
            </w:pPr>
            <w:r>
              <w:rPr>
                <w:color w:val="000000"/>
              </w:rPr>
              <w:t>.74</w:t>
            </w:r>
          </w:p>
        </w:tc>
        <w:tc>
          <w:tcPr>
            <w:tcW w:w="1350" w:type="dxa"/>
            <w:tcBorders>
              <w:top w:val="nil"/>
              <w:left w:val="nil"/>
              <w:bottom w:val="single" w:sz="4" w:space="0" w:color="auto"/>
              <w:right w:val="nil"/>
            </w:tcBorders>
            <w:shd w:val="clear" w:color="auto" w:fill="auto"/>
            <w:noWrap/>
            <w:vAlign w:val="bottom"/>
            <w:hideMark/>
          </w:tcPr>
          <w:p w14:paraId="34BBEBBD" w14:textId="348C1B58" w:rsidR="00935CA9" w:rsidRPr="0021398F" w:rsidRDefault="00935CA9" w:rsidP="00935CA9">
            <w:pPr>
              <w:spacing w:after="0" w:line="240" w:lineRule="auto"/>
              <w:rPr>
                <w:color w:val="000000"/>
              </w:rPr>
            </w:pPr>
            <w:r>
              <w:rPr>
                <w:color w:val="000000"/>
              </w:rPr>
              <w:t>.04</w:t>
            </w:r>
          </w:p>
        </w:tc>
        <w:tc>
          <w:tcPr>
            <w:tcW w:w="1440" w:type="dxa"/>
            <w:tcBorders>
              <w:top w:val="nil"/>
              <w:left w:val="nil"/>
              <w:bottom w:val="single" w:sz="4" w:space="0" w:color="auto"/>
              <w:right w:val="nil"/>
            </w:tcBorders>
            <w:shd w:val="clear" w:color="auto" w:fill="auto"/>
            <w:noWrap/>
            <w:vAlign w:val="center"/>
            <w:hideMark/>
          </w:tcPr>
          <w:p w14:paraId="284F825C" w14:textId="77777777" w:rsidR="00935CA9" w:rsidRPr="0021398F" w:rsidRDefault="00935CA9" w:rsidP="00935CA9">
            <w:pPr>
              <w:spacing w:after="0" w:line="240" w:lineRule="auto"/>
              <w:rPr>
                <w:color w:val="000000"/>
              </w:rPr>
            </w:pPr>
            <w:r w:rsidRPr="0021398F">
              <w:rPr>
                <w:color w:val="000000"/>
              </w:rPr>
              <w:t>.65</w:t>
            </w:r>
          </w:p>
        </w:tc>
        <w:tc>
          <w:tcPr>
            <w:tcW w:w="1379" w:type="dxa"/>
            <w:tcBorders>
              <w:top w:val="nil"/>
              <w:left w:val="nil"/>
              <w:bottom w:val="single" w:sz="4" w:space="0" w:color="auto"/>
              <w:right w:val="nil"/>
            </w:tcBorders>
            <w:shd w:val="clear" w:color="auto" w:fill="auto"/>
            <w:noWrap/>
            <w:vAlign w:val="bottom"/>
            <w:hideMark/>
          </w:tcPr>
          <w:p w14:paraId="0D48CEF4" w14:textId="77777777" w:rsidR="00935CA9" w:rsidRPr="0021398F" w:rsidRDefault="00935CA9" w:rsidP="00935CA9">
            <w:pPr>
              <w:spacing w:after="0" w:line="240" w:lineRule="auto"/>
              <w:rPr>
                <w:color w:val="000000"/>
              </w:rPr>
            </w:pPr>
            <w:r w:rsidRPr="0021398F">
              <w:rPr>
                <w:color w:val="000000"/>
              </w:rPr>
              <w:t>.46</w:t>
            </w:r>
          </w:p>
        </w:tc>
      </w:tr>
      <w:tr w:rsidR="009177AB" w:rsidRPr="0021398F" w14:paraId="48FFFC97" w14:textId="77777777" w:rsidTr="00F866EA">
        <w:trPr>
          <w:trHeight w:val="299"/>
        </w:trPr>
        <w:tc>
          <w:tcPr>
            <w:tcW w:w="1923" w:type="dxa"/>
            <w:tcBorders>
              <w:top w:val="single" w:sz="4" w:space="0" w:color="auto"/>
              <w:left w:val="nil"/>
              <w:bottom w:val="single" w:sz="4" w:space="0" w:color="auto"/>
              <w:right w:val="nil"/>
            </w:tcBorders>
            <w:shd w:val="clear" w:color="auto" w:fill="auto"/>
            <w:noWrap/>
            <w:vAlign w:val="bottom"/>
            <w:hideMark/>
          </w:tcPr>
          <w:p w14:paraId="2CD8BC5D" w14:textId="77777777" w:rsidR="009177AB" w:rsidRPr="0021398F" w:rsidRDefault="009177AB" w:rsidP="00F866EA">
            <w:pPr>
              <w:spacing w:after="0" w:line="240" w:lineRule="auto"/>
              <w:jc w:val="left"/>
              <w:rPr>
                <w:b/>
                <w:bCs/>
                <w:color w:val="000000"/>
              </w:rPr>
            </w:pPr>
            <w:r w:rsidRPr="0021398F">
              <w:rPr>
                <w:b/>
                <w:bCs/>
                <w:color w:val="000000"/>
              </w:rPr>
              <w:t>Average</w:t>
            </w:r>
          </w:p>
        </w:tc>
        <w:tc>
          <w:tcPr>
            <w:tcW w:w="1317" w:type="dxa"/>
            <w:tcBorders>
              <w:top w:val="single" w:sz="4" w:space="0" w:color="auto"/>
              <w:left w:val="nil"/>
              <w:bottom w:val="single" w:sz="4" w:space="0" w:color="auto"/>
              <w:right w:val="nil"/>
            </w:tcBorders>
            <w:shd w:val="clear" w:color="auto" w:fill="auto"/>
            <w:noWrap/>
            <w:vAlign w:val="bottom"/>
            <w:hideMark/>
          </w:tcPr>
          <w:p w14:paraId="11BF0F2F" w14:textId="558DE41F" w:rsidR="009177AB" w:rsidRPr="0021398F" w:rsidRDefault="009177AB" w:rsidP="00F866EA">
            <w:pPr>
              <w:spacing w:after="0" w:line="240" w:lineRule="auto"/>
              <w:rPr>
                <w:b/>
                <w:bCs/>
                <w:color w:val="000000"/>
              </w:rPr>
            </w:pPr>
            <w:r w:rsidRPr="0021398F">
              <w:rPr>
                <w:b/>
                <w:bCs/>
                <w:color w:val="000000"/>
              </w:rPr>
              <w:t>.</w:t>
            </w:r>
            <w:r w:rsidR="00935CA9">
              <w:rPr>
                <w:b/>
                <w:bCs/>
                <w:color w:val="000000"/>
              </w:rPr>
              <w:t>84</w:t>
            </w:r>
          </w:p>
        </w:tc>
        <w:tc>
          <w:tcPr>
            <w:tcW w:w="1350" w:type="dxa"/>
            <w:tcBorders>
              <w:top w:val="single" w:sz="4" w:space="0" w:color="auto"/>
              <w:left w:val="nil"/>
              <w:bottom w:val="single" w:sz="4" w:space="0" w:color="auto"/>
              <w:right w:val="nil"/>
            </w:tcBorders>
            <w:shd w:val="clear" w:color="auto" w:fill="auto"/>
            <w:noWrap/>
            <w:vAlign w:val="bottom"/>
            <w:hideMark/>
          </w:tcPr>
          <w:p w14:paraId="69B637EB" w14:textId="644B9BA9" w:rsidR="009177AB" w:rsidRPr="0021398F" w:rsidRDefault="00935CA9" w:rsidP="00F866EA">
            <w:pPr>
              <w:spacing w:after="0" w:line="240" w:lineRule="auto"/>
              <w:rPr>
                <w:b/>
                <w:bCs/>
                <w:color w:val="000000"/>
              </w:rPr>
            </w:pPr>
            <w:r>
              <w:rPr>
                <w:b/>
                <w:bCs/>
                <w:color w:val="000000"/>
              </w:rPr>
              <w:t>.59</w:t>
            </w:r>
          </w:p>
        </w:tc>
        <w:tc>
          <w:tcPr>
            <w:tcW w:w="1440" w:type="dxa"/>
            <w:tcBorders>
              <w:top w:val="single" w:sz="4" w:space="0" w:color="auto"/>
              <w:left w:val="nil"/>
              <w:bottom w:val="single" w:sz="4" w:space="0" w:color="auto"/>
              <w:right w:val="nil"/>
            </w:tcBorders>
            <w:shd w:val="clear" w:color="auto" w:fill="auto"/>
            <w:noWrap/>
            <w:vAlign w:val="bottom"/>
            <w:hideMark/>
          </w:tcPr>
          <w:p w14:paraId="0E8C14E8" w14:textId="77777777" w:rsidR="009177AB" w:rsidRPr="0021398F" w:rsidRDefault="009177AB" w:rsidP="00F866EA">
            <w:pPr>
              <w:spacing w:after="0" w:line="240" w:lineRule="auto"/>
              <w:rPr>
                <w:b/>
                <w:bCs/>
                <w:color w:val="000000"/>
              </w:rPr>
            </w:pPr>
            <w:r w:rsidRPr="0021398F">
              <w:rPr>
                <w:b/>
                <w:bCs/>
                <w:color w:val="000000"/>
              </w:rPr>
              <w:t>.77</w:t>
            </w:r>
          </w:p>
        </w:tc>
        <w:tc>
          <w:tcPr>
            <w:tcW w:w="1379" w:type="dxa"/>
            <w:tcBorders>
              <w:top w:val="single" w:sz="4" w:space="0" w:color="auto"/>
              <w:left w:val="nil"/>
              <w:bottom w:val="single" w:sz="4" w:space="0" w:color="auto"/>
              <w:right w:val="nil"/>
            </w:tcBorders>
            <w:shd w:val="clear" w:color="auto" w:fill="auto"/>
            <w:noWrap/>
            <w:vAlign w:val="bottom"/>
            <w:hideMark/>
          </w:tcPr>
          <w:p w14:paraId="2F0AB64A" w14:textId="77777777" w:rsidR="009177AB" w:rsidRPr="0021398F" w:rsidRDefault="009177AB" w:rsidP="00F866EA">
            <w:pPr>
              <w:spacing w:after="0" w:line="240" w:lineRule="auto"/>
              <w:rPr>
                <w:b/>
                <w:bCs/>
                <w:color w:val="000000"/>
              </w:rPr>
            </w:pPr>
            <w:r w:rsidRPr="0021398F">
              <w:rPr>
                <w:b/>
                <w:bCs/>
                <w:color w:val="000000"/>
              </w:rPr>
              <w:t>.62</w:t>
            </w:r>
          </w:p>
        </w:tc>
      </w:tr>
      <w:tr w:rsidR="009177AB" w:rsidRPr="0021398F" w14:paraId="114D02CF" w14:textId="77777777" w:rsidTr="00F866EA">
        <w:trPr>
          <w:trHeight w:val="299"/>
        </w:trPr>
        <w:tc>
          <w:tcPr>
            <w:tcW w:w="1923" w:type="dxa"/>
            <w:tcBorders>
              <w:top w:val="single" w:sz="4" w:space="0" w:color="auto"/>
              <w:left w:val="nil"/>
              <w:bottom w:val="single" w:sz="4" w:space="0" w:color="auto"/>
              <w:right w:val="nil"/>
            </w:tcBorders>
            <w:shd w:val="clear" w:color="auto" w:fill="auto"/>
            <w:noWrap/>
            <w:vAlign w:val="bottom"/>
            <w:hideMark/>
          </w:tcPr>
          <w:p w14:paraId="1F8A002E" w14:textId="77777777" w:rsidR="009177AB" w:rsidRPr="0021398F" w:rsidRDefault="009177AB" w:rsidP="00F866EA">
            <w:pPr>
              <w:spacing w:after="0" w:line="240" w:lineRule="auto"/>
              <w:jc w:val="left"/>
              <w:rPr>
                <w:color w:val="000000"/>
              </w:rPr>
            </w:pPr>
            <w:r w:rsidRPr="0021398F">
              <w:rPr>
                <w:color w:val="000000"/>
              </w:rPr>
              <w:t>SD</w:t>
            </w:r>
          </w:p>
        </w:tc>
        <w:tc>
          <w:tcPr>
            <w:tcW w:w="1317" w:type="dxa"/>
            <w:tcBorders>
              <w:top w:val="single" w:sz="4" w:space="0" w:color="auto"/>
              <w:left w:val="nil"/>
              <w:bottom w:val="single" w:sz="4" w:space="0" w:color="auto"/>
              <w:right w:val="nil"/>
            </w:tcBorders>
            <w:shd w:val="clear" w:color="auto" w:fill="auto"/>
            <w:noWrap/>
            <w:vAlign w:val="bottom"/>
            <w:hideMark/>
          </w:tcPr>
          <w:p w14:paraId="0C359797" w14:textId="74D82B02" w:rsidR="009177AB" w:rsidRPr="0021398F" w:rsidRDefault="009177AB" w:rsidP="00F866EA">
            <w:pPr>
              <w:spacing w:after="0" w:line="240" w:lineRule="auto"/>
              <w:rPr>
                <w:color w:val="000000"/>
              </w:rPr>
            </w:pPr>
            <w:r w:rsidRPr="0021398F">
              <w:rPr>
                <w:color w:val="000000"/>
              </w:rPr>
              <w:t>.</w:t>
            </w:r>
            <w:r w:rsidR="00935CA9">
              <w:rPr>
                <w:color w:val="000000"/>
              </w:rPr>
              <w:t>08</w:t>
            </w:r>
          </w:p>
        </w:tc>
        <w:tc>
          <w:tcPr>
            <w:tcW w:w="1350" w:type="dxa"/>
            <w:tcBorders>
              <w:top w:val="single" w:sz="4" w:space="0" w:color="auto"/>
              <w:left w:val="nil"/>
              <w:bottom w:val="single" w:sz="4" w:space="0" w:color="auto"/>
              <w:right w:val="nil"/>
            </w:tcBorders>
            <w:shd w:val="clear" w:color="auto" w:fill="auto"/>
            <w:noWrap/>
            <w:vAlign w:val="bottom"/>
            <w:hideMark/>
          </w:tcPr>
          <w:p w14:paraId="7F053C24" w14:textId="1788F34B" w:rsidR="009177AB" w:rsidRPr="0021398F" w:rsidRDefault="00935CA9" w:rsidP="00F866EA">
            <w:pPr>
              <w:spacing w:after="0" w:line="240" w:lineRule="auto"/>
              <w:rPr>
                <w:color w:val="000000"/>
              </w:rPr>
            </w:pPr>
            <w:r>
              <w:rPr>
                <w:color w:val="000000"/>
              </w:rPr>
              <w:t>.34</w:t>
            </w:r>
          </w:p>
        </w:tc>
        <w:tc>
          <w:tcPr>
            <w:tcW w:w="1440" w:type="dxa"/>
            <w:tcBorders>
              <w:top w:val="single" w:sz="4" w:space="0" w:color="auto"/>
              <w:left w:val="nil"/>
              <w:bottom w:val="single" w:sz="4" w:space="0" w:color="auto"/>
              <w:right w:val="nil"/>
            </w:tcBorders>
            <w:shd w:val="clear" w:color="auto" w:fill="auto"/>
            <w:noWrap/>
            <w:vAlign w:val="bottom"/>
            <w:hideMark/>
          </w:tcPr>
          <w:p w14:paraId="06E12B71" w14:textId="77777777" w:rsidR="009177AB" w:rsidRPr="0021398F" w:rsidRDefault="009177AB" w:rsidP="00F866EA">
            <w:pPr>
              <w:spacing w:after="0" w:line="240" w:lineRule="auto"/>
              <w:rPr>
                <w:color w:val="000000"/>
              </w:rPr>
            </w:pPr>
            <w:r w:rsidRPr="0021398F">
              <w:rPr>
                <w:color w:val="000000"/>
              </w:rPr>
              <w:t>.14</w:t>
            </w:r>
          </w:p>
        </w:tc>
        <w:tc>
          <w:tcPr>
            <w:tcW w:w="1379" w:type="dxa"/>
            <w:tcBorders>
              <w:top w:val="single" w:sz="4" w:space="0" w:color="auto"/>
              <w:left w:val="nil"/>
              <w:bottom w:val="single" w:sz="4" w:space="0" w:color="auto"/>
              <w:right w:val="nil"/>
            </w:tcBorders>
            <w:shd w:val="clear" w:color="auto" w:fill="auto"/>
            <w:noWrap/>
            <w:vAlign w:val="bottom"/>
            <w:hideMark/>
          </w:tcPr>
          <w:p w14:paraId="074C32FF" w14:textId="77777777" w:rsidR="009177AB" w:rsidRPr="0021398F" w:rsidRDefault="009177AB" w:rsidP="00F866EA">
            <w:pPr>
              <w:spacing w:after="0" w:line="240" w:lineRule="auto"/>
              <w:rPr>
                <w:color w:val="000000"/>
              </w:rPr>
            </w:pPr>
            <w:r w:rsidRPr="0021398F">
              <w:rPr>
                <w:color w:val="000000"/>
              </w:rPr>
              <w:t>.11</w:t>
            </w:r>
          </w:p>
        </w:tc>
      </w:tr>
      <w:tr w:rsidR="00482D67" w:rsidRPr="0021398F" w14:paraId="2CE5BCE3" w14:textId="77777777" w:rsidTr="004A3A35">
        <w:trPr>
          <w:trHeight w:val="299"/>
        </w:trPr>
        <w:tc>
          <w:tcPr>
            <w:tcW w:w="7409" w:type="dxa"/>
            <w:gridSpan w:val="5"/>
            <w:tcBorders>
              <w:top w:val="single" w:sz="4" w:space="0" w:color="auto"/>
              <w:left w:val="nil"/>
              <w:bottom w:val="single" w:sz="4" w:space="0" w:color="auto"/>
              <w:right w:val="nil"/>
            </w:tcBorders>
            <w:shd w:val="clear" w:color="auto" w:fill="auto"/>
            <w:noWrap/>
            <w:vAlign w:val="bottom"/>
          </w:tcPr>
          <w:p w14:paraId="424D5C96" w14:textId="116676E0" w:rsidR="00482D67" w:rsidRPr="0021398F" w:rsidRDefault="00482D67" w:rsidP="00750ACB">
            <w:pPr>
              <w:spacing w:after="0" w:line="240" w:lineRule="auto"/>
              <w:jc w:val="left"/>
              <w:rPr>
                <w:color w:val="000000"/>
              </w:rPr>
            </w:pPr>
            <w:r w:rsidRPr="00750ACB">
              <w:rPr>
                <w:i/>
                <w:iCs/>
                <w:color w:val="000000"/>
              </w:rPr>
              <w:t>Note</w:t>
            </w:r>
            <w:r>
              <w:rPr>
                <w:color w:val="000000"/>
              </w:rPr>
              <w:t xml:space="preserve">. </w:t>
            </w:r>
            <w:r w:rsidRPr="00BC2FCF">
              <w:t>ω</w:t>
            </w:r>
            <w:r w:rsidRPr="00482D67">
              <w:rPr>
                <w:i/>
                <w:iCs/>
                <w:vertAlign w:val="subscript"/>
              </w:rPr>
              <w:t>t</w:t>
            </w:r>
            <w:r>
              <w:t xml:space="preserve"> = total common variance, </w:t>
            </w:r>
            <w:r w:rsidRPr="00BC2FCF">
              <w:t>ω</w:t>
            </w:r>
            <w:r w:rsidRPr="00482D67">
              <w:rPr>
                <w:i/>
                <w:iCs/>
                <w:vertAlign w:val="subscript"/>
              </w:rPr>
              <w:t>h</w:t>
            </w:r>
            <w:r>
              <w:t xml:space="preserve"> = general factor saturation, </w:t>
            </w:r>
            <w:r w:rsidRPr="00BC2FCF">
              <w:t>β</w:t>
            </w:r>
            <w:r>
              <w:t xml:space="preserve"> = smallest split half reliability, </w:t>
            </w:r>
            <m:oMath>
              <m:acc>
                <m:accPr>
                  <m:chr m:val="̅"/>
                  <m:ctrlPr>
                    <w:rPr>
                      <w:rFonts w:ascii="Cambria Math" w:hAnsi="Cambria Math"/>
                      <w:i/>
                      <w:iCs/>
                    </w:rPr>
                  </m:ctrlPr>
                </m:accPr>
                <m:e>
                  <m:r>
                    <w:rPr>
                      <w:rFonts w:ascii="Cambria Math" w:hAnsi="Cambria Math"/>
                    </w:rPr>
                    <m:t>h</m:t>
                  </m:r>
                </m:e>
              </m:acc>
            </m:oMath>
            <w:r w:rsidRPr="00582CB8">
              <w:rPr>
                <w:vertAlign w:val="superscript"/>
              </w:rPr>
              <w:t>2</w:t>
            </w:r>
            <w:r>
              <w:t xml:space="preserve"> = average communality score.</w:t>
            </w:r>
          </w:p>
        </w:tc>
      </w:tr>
    </w:tbl>
    <w:p w14:paraId="2539BCA4" w14:textId="388DFFD9" w:rsidR="009177AB" w:rsidRDefault="009177AB" w:rsidP="00C66D5C">
      <w:pPr>
        <w:spacing w:after="0"/>
        <w:ind w:firstLine="720"/>
        <w:jc w:val="left"/>
      </w:pPr>
    </w:p>
    <w:p w14:paraId="3A9CF9CE" w14:textId="77777777" w:rsidR="009177AB" w:rsidRDefault="009177AB" w:rsidP="00C66D5C">
      <w:pPr>
        <w:spacing w:after="0"/>
        <w:ind w:firstLine="720"/>
        <w:jc w:val="left"/>
      </w:pPr>
    </w:p>
    <w:tbl>
      <w:tblPr>
        <w:tblW w:w="8025" w:type="dxa"/>
        <w:tblLook w:val="04A0" w:firstRow="1" w:lastRow="0" w:firstColumn="1" w:lastColumn="0" w:noHBand="0" w:noVBand="1"/>
      </w:tblPr>
      <w:tblGrid>
        <w:gridCol w:w="2082"/>
        <w:gridCol w:w="1426"/>
        <w:gridCol w:w="1462"/>
        <w:gridCol w:w="1559"/>
        <w:gridCol w:w="1496"/>
      </w:tblGrid>
      <w:tr w:rsidR="009177AB" w:rsidRPr="0021398F" w14:paraId="1D49749B" w14:textId="77777777" w:rsidTr="00F866EA">
        <w:trPr>
          <w:trHeight w:val="300"/>
        </w:trPr>
        <w:tc>
          <w:tcPr>
            <w:tcW w:w="8025" w:type="dxa"/>
            <w:gridSpan w:val="5"/>
            <w:tcBorders>
              <w:top w:val="nil"/>
              <w:left w:val="nil"/>
              <w:bottom w:val="single" w:sz="4" w:space="0" w:color="auto"/>
              <w:right w:val="nil"/>
            </w:tcBorders>
            <w:shd w:val="clear" w:color="auto" w:fill="auto"/>
            <w:noWrap/>
            <w:vAlign w:val="bottom"/>
          </w:tcPr>
          <w:p w14:paraId="24424478" w14:textId="77777777" w:rsidR="009177AB" w:rsidRPr="0021398F" w:rsidRDefault="009177AB" w:rsidP="00F866EA">
            <w:pPr>
              <w:spacing w:after="0" w:line="240" w:lineRule="auto"/>
              <w:jc w:val="left"/>
              <w:rPr>
                <w:color w:val="000000"/>
              </w:rPr>
            </w:pPr>
            <w:r w:rsidRPr="0021398F">
              <w:rPr>
                <w:color w:val="000000"/>
              </w:rPr>
              <w:t xml:space="preserve">Table </w:t>
            </w:r>
            <w:r>
              <w:rPr>
                <w:color w:val="000000"/>
              </w:rPr>
              <w:t>3</w:t>
            </w:r>
          </w:p>
        </w:tc>
      </w:tr>
      <w:tr w:rsidR="009177AB" w:rsidRPr="0021398F" w14:paraId="13626A6D" w14:textId="77777777" w:rsidTr="00F866EA">
        <w:trPr>
          <w:trHeight w:val="300"/>
        </w:trPr>
        <w:tc>
          <w:tcPr>
            <w:tcW w:w="8025" w:type="dxa"/>
            <w:gridSpan w:val="5"/>
            <w:tcBorders>
              <w:top w:val="single" w:sz="4" w:space="0" w:color="auto"/>
              <w:left w:val="nil"/>
              <w:bottom w:val="single" w:sz="4" w:space="0" w:color="auto"/>
              <w:right w:val="nil"/>
            </w:tcBorders>
            <w:shd w:val="clear" w:color="auto" w:fill="auto"/>
            <w:noWrap/>
            <w:vAlign w:val="bottom"/>
            <w:hideMark/>
          </w:tcPr>
          <w:p w14:paraId="260B1CF3" w14:textId="77777777" w:rsidR="009177AB" w:rsidRPr="0021398F" w:rsidRDefault="009177AB" w:rsidP="00F866EA">
            <w:pPr>
              <w:spacing w:after="0" w:line="240" w:lineRule="auto"/>
              <w:jc w:val="left"/>
              <w:rPr>
                <w:i/>
                <w:iCs/>
                <w:color w:val="000000"/>
              </w:rPr>
            </w:pPr>
            <w:r w:rsidRPr="0021398F">
              <w:rPr>
                <w:i/>
                <w:iCs/>
                <w:color w:val="000000"/>
              </w:rPr>
              <w:lastRenderedPageBreak/>
              <w:t xml:space="preserve">Reliability </w:t>
            </w:r>
            <w:r>
              <w:rPr>
                <w:i/>
                <w:iCs/>
                <w:color w:val="000000"/>
              </w:rPr>
              <w:t>M</w:t>
            </w:r>
            <w:r w:rsidRPr="0021398F">
              <w:rPr>
                <w:i/>
                <w:iCs/>
                <w:color w:val="000000"/>
              </w:rPr>
              <w:t xml:space="preserve">easures of the </w:t>
            </w:r>
            <w:r>
              <w:rPr>
                <w:i/>
                <w:iCs/>
                <w:color w:val="000000"/>
              </w:rPr>
              <w:t>Interdependent</w:t>
            </w:r>
            <w:r w:rsidRPr="0021398F">
              <w:rPr>
                <w:i/>
                <w:iCs/>
                <w:color w:val="000000"/>
              </w:rPr>
              <w:t xml:space="preserve"> Happiness Scale (</w:t>
            </w:r>
            <w:r>
              <w:rPr>
                <w:i/>
                <w:iCs/>
                <w:color w:val="000000"/>
              </w:rPr>
              <w:t>I</w:t>
            </w:r>
            <w:r w:rsidRPr="0021398F">
              <w:rPr>
                <w:i/>
                <w:iCs/>
                <w:color w:val="000000"/>
              </w:rPr>
              <w:t>HS)</w:t>
            </w:r>
            <w:r>
              <w:rPr>
                <w:i/>
                <w:iCs/>
                <w:color w:val="000000"/>
              </w:rPr>
              <w:t xml:space="preserve"> by Country</w:t>
            </w:r>
          </w:p>
        </w:tc>
      </w:tr>
      <w:tr w:rsidR="00237D87" w:rsidRPr="0021398F" w14:paraId="28F82F62" w14:textId="77777777" w:rsidTr="00F866EA">
        <w:trPr>
          <w:trHeight w:val="300"/>
        </w:trPr>
        <w:tc>
          <w:tcPr>
            <w:tcW w:w="2082" w:type="dxa"/>
            <w:tcBorders>
              <w:top w:val="single" w:sz="4" w:space="0" w:color="auto"/>
              <w:left w:val="nil"/>
              <w:bottom w:val="single" w:sz="4" w:space="0" w:color="auto"/>
              <w:right w:val="nil"/>
            </w:tcBorders>
            <w:shd w:val="clear" w:color="auto" w:fill="auto"/>
            <w:noWrap/>
            <w:vAlign w:val="bottom"/>
            <w:hideMark/>
          </w:tcPr>
          <w:p w14:paraId="41998A66" w14:textId="77777777" w:rsidR="00237D87" w:rsidRPr="0021398F" w:rsidRDefault="00237D87" w:rsidP="00237D87">
            <w:pPr>
              <w:spacing w:after="0" w:line="240" w:lineRule="auto"/>
              <w:jc w:val="left"/>
              <w:rPr>
                <w:color w:val="000000"/>
              </w:rPr>
            </w:pPr>
            <w:r>
              <w:rPr>
                <w:color w:val="000000"/>
              </w:rPr>
              <w:t>C</w:t>
            </w:r>
            <w:r w:rsidRPr="0021398F">
              <w:rPr>
                <w:color w:val="000000"/>
              </w:rPr>
              <w:t>ountry</w:t>
            </w:r>
          </w:p>
        </w:tc>
        <w:tc>
          <w:tcPr>
            <w:tcW w:w="1426" w:type="dxa"/>
            <w:tcBorders>
              <w:top w:val="single" w:sz="4" w:space="0" w:color="auto"/>
              <w:left w:val="nil"/>
              <w:bottom w:val="single" w:sz="4" w:space="0" w:color="auto"/>
              <w:right w:val="nil"/>
            </w:tcBorders>
            <w:shd w:val="clear" w:color="auto" w:fill="auto"/>
            <w:noWrap/>
            <w:vAlign w:val="bottom"/>
            <w:hideMark/>
          </w:tcPr>
          <w:p w14:paraId="3A5F4ABD" w14:textId="64694F74" w:rsidR="00237D87" w:rsidRPr="007316E8" w:rsidRDefault="00237D87" w:rsidP="00237D87">
            <w:pPr>
              <w:spacing w:after="0" w:line="240" w:lineRule="auto"/>
              <w:rPr>
                <w:color w:val="000000"/>
              </w:rPr>
            </w:pPr>
            <w:r w:rsidRPr="007316E8">
              <w:rPr>
                <w:i/>
                <w:iCs/>
              </w:rPr>
              <w:t>ω</w:t>
            </w:r>
            <w:r w:rsidRPr="007316E8">
              <w:rPr>
                <w:i/>
                <w:iCs/>
                <w:vertAlign w:val="subscript"/>
              </w:rPr>
              <w:t>t</w:t>
            </w:r>
          </w:p>
        </w:tc>
        <w:tc>
          <w:tcPr>
            <w:tcW w:w="1462" w:type="dxa"/>
            <w:tcBorders>
              <w:top w:val="single" w:sz="4" w:space="0" w:color="auto"/>
              <w:left w:val="nil"/>
              <w:bottom w:val="single" w:sz="4" w:space="0" w:color="auto"/>
              <w:right w:val="nil"/>
            </w:tcBorders>
            <w:shd w:val="clear" w:color="auto" w:fill="auto"/>
            <w:noWrap/>
            <w:vAlign w:val="bottom"/>
            <w:hideMark/>
          </w:tcPr>
          <w:p w14:paraId="74C30CC6" w14:textId="7CFCB64B" w:rsidR="00237D87" w:rsidRPr="0021398F" w:rsidRDefault="00237D87" w:rsidP="00237D87">
            <w:pPr>
              <w:spacing w:after="0" w:line="240" w:lineRule="auto"/>
              <w:rPr>
                <w:color w:val="000000"/>
              </w:rPr>
            </w:pPr>
            <w:r w:rsidRPr="007316E8">
              <w:rPr>
                <w:i/>
                <w:iCs/>
              </w:rPr>
              <w:t>ω</w:t>
            </w:r>
            <w:r w:rsidRPr="00237D87">
              <w:rPr>
                <w:i/>
                <w:iCs/>
                <w:vertAlign w:val="subscript"/>
              </w:rPr>
              <w:t>h</w:t>
            </w:r>
          </w:p>
        </w:tc>
        <w:tc>
          <w:tcPr>
            <w:tcW w:w="1559" w:type="dxa"/>
            <w:tcBorders>
              <w:top w:val="single" w:sz="4" w:space="0" w:color="auto"/>
              <w:left w:val="nil"/>
              <w:bottom w:val="single" w:sz="4" w:space="0" w:color="auto"/>
              <w:right w:val="nil"/>
            </w:tcBorders>
            <w:shd w:val="clear" w:color="auto" w:fill="auto"/>
            <w:noWrap/>
            <w:vAlign w:val="center"/>
            <w:hideMark/>
          </w:tcPr>
          <w:p w14:paraId="79CDF925" w14:textId="77777777" w:rsidR="00237D87" w:rsidRPr="0021398F" w:rsidRDefault="00237D87" w:rsidP="00237D87">
            <w:pPr>
              <w:spacing w:after="0" w:line="240" w:lineRule="auto"/>
              <w:rPr>
                <w:color w:val="000000"/>
              </w:rPr>
            </w:pPr>
            <w:r w:rsidRPr="001F6719">
              <w:rPr>
                <w:i/>
                <w:iCs/>
              </w:rPr>
              <w:t>β</w:t>
            </w:r>
          </w:p>
        </w:tc>
        <w:tc>
          <w:tcPr>
            <w:tcW w:w="1496" w:type="dxa"/>
            <w:tcBorders>
              <w:top w:val="single" w:sz="4" w:space="0" w:color="auto"/>
              <w:left w:val="nil"/>
              <w:bottom w:val="single" w:sz="4" w:space="0" w:color="auto"/>
              <w:right w:val="nil"/>
            </w:tcBorders>
            <w:shd w:val="clear" w:color="auto" w:fill="auto"/>
            <w:noWrap/>
            <w:vAlign w:val="bottom"/>
            <w:hideMark/>
          </w:tcPr>
          <w:p w14:paraId="6DDBEBF6" w14:textId="77777777" w:rsidR="00237D87" w:rsidRPr="0021398F" w:rsidRDefault="001474EE" w:rsidP="00237D87">
            <w:pPr>
              <w:spacing w:after="0" w:line="240" w:lineRule="auto"/>
              <w:rPr>
                <w:color w:val="000000"/>
              </w:rPr>
            </w:pPr>
            <m:oMath>
              <m:acc>
                <m:accPr>
                  <m:chr m:val="̅"/>
                  <m:ctrlPr>
                    <w:rPr>
                      <w:rFonts w:ascii="Cambria Math" w:hAnsi="Cambria Math"/>
                      <w:i/>
                      <w:iCs/>
                    </w:rPr>
                  </m:ctrlPr>
                </m:accPr>
                <m:e>
                  <m:r>
                    <w:rPr>
                      <w:rFonts w:ascii="Cambria Math" w:hAnsi="Cambria Math"/>
                    </w:rPr>
                    <m:t>h</m:t>
                  </m:r>
                </m:e>
              </m:acc>
            </m:oMath>
            <w:r w:rsidR="00237D87" w:rsidRPr="00582CB8">
              <w:rPr>
                <w:vertAlign w:val="superscript"/>
              </w:rPr>
              <w:t>2</w:t>
            </w:r>
          </w:p>
        </w:tc>
      </w:tr>
      <w:tr w:rsidR="00237D87" w:rsidRPr="00B071B7" w14:paraId="458A2FA8" w14:textId="77777777" w:rsidTr="00F866EA">
        <w:trPr>
          <w:trHeight w:val="300"/>
        </w:trPr>
        <w:tc>
          <w:tcPr>
            <w:tcW w:w="2082" w:type="dxa"/>
            <w:tcBorders>
              <w:top w:val="single" w:sz="4" w:space="0" w:color="auto"/>
              <w:left w:val="nil"/>
              <w:bottom w:val="nil"/>
              <w:right w:val="nil"/>
            </w:tcBorders>
            <w:shd w:val="clear" w:color="auto" w:fill="auto"/>
            <w:noWrap/>
            <w:vAlign w:val="bottom"/>
            <w:hideMark/>
          </w:tcPr>
          <w:p w14:paraId="543E958C" w14:textId="77777777" w:rsidR="00237D87" w:rsidRPr="0021398F" w:rsidRDefault="00237D87" w:rsidP="00237D87">
            <w:pPr>
              <w:spacing w:after="0" w:line="240" w:lineRule="auto"/>
              <w:jc w:val="left"/>
              <w:rPr>
                <w:color w:val="000000"/>
              </w:rPr>
            </w:pPr>
            <w:r w:rsidRPr="0021398F">
              <w:rPr>
                <w:color w:val="000000"/>
              </w:rPr>
              <w:t>Argentina</w:t>
            </w:r>
          </w:p>
        </w:tc>
        <w:tc>
          <w:tcPr>
            <w:tcW w:w="1426" w:type="dxa"/>
            <w:tcBorders>
              <w:top w:val="single" w:sz="4" w:space="0" w:color="auto"/>
              <w:left w:val="nil"/>
              <w:bottom w:val="nil"/>
              <w:right w:val="nil"/>
            </w:tcBorders>
            <w:shd w:val="clear" w:color="auto" w:fill="auto"/>
            <w:noWrap/>
            <w:vAlign w:val="bottom"/>
            <w:hideMark/>
          </w:tcPr>
          <w:p w14:paraId="7FFBF89E" w14:textId="7C3168D4" w:rsidR="00237D87" w:rsidRPr="00B071B7" w:rsidRDefault="00237D87" w:rsidP="00237D87">
            <w:pPr>
              <w:spacing w:after="0" w:line="240" w:lineRule="auto"/>
              <w:rPr>
                <w:color w:val="000000"/>
              </w:rPr>
            </w:pPr>
            <w:r>
              <w:rPr>
                <w:color w:val="000000"/>
              </w:rPr>
              <w:t>.81</w:t>
            </w:r>
          </w:p>
        </w:tc>
        <w:tc>
          <w:tcPr>
            <w:tcW w:w="1462" w:type="dxa"/>
            <w:tcBorders>
              <w:top w:val="single" w:sz="4" w:space="0" w:color="auto"/>
              <w:left w:val="nil"/>
              <w:bottom w:val="nil"/>
              <w:right w:val="nil"/>
            </w:tcBorders>
            <w:shd w:val="clear" w:color="auto" w:fill="auto"/>
            <w:noWrap/>
            <w:vAlign w:val="bottom"/>
            <w:hideMark/>
          </w:tcPr>
          <w:p w14:paraId="007DC0A9" w14:textId="57AA3FB1" w:rsidR="00237D87" w:rsidRPr="00B071B7" w:rsidRDefault="00237D87" w:rsidP="00237D87">
            <w:pPr>
              <w:spacing w:after="0" w:line="240" w:lineRule="auto"/>
              <w:rPr>
                <w:color w:val="000000"/>
              </w:rPr>
            </w:pPr>
            <w:r>
              <w:rPr>
                <w:color w:val="000000"/>
              </w:rPr>
              <w:t>.56</w:t>
            </w:r>
          </w:p>
        </w:tc>
        <w:tc>
          <w:tcPr>
            <w:tcW w:w="1559" w:type="dxa"/>
            <w:tcBorders>
              <w:top w:val="single" w:sz="4" w:space="0" w:color="auto"/>
              <w:left w:val="nil"/>
              <w:bottom w:val="nil"/>
              <w:right w:val="nil"/>
            </w:tcBorders>
            <w:shd w:val="clear" w:color="auto" w:fill="auto"/>
            <w:noWrap/>
            <w:vAlign w:val="center"/>
            <w:hideMark/>
          </w:tcPr>
          <w:p w14:paraId="7354BF3A" w14:textId="77777777" w:rsidR="00237D87" w:rsidRPr="00B071B7" w:rsidRDefault="00237D87" w:rsidP="00237D87">
            <w:pPr>
              <w:spacing w:after="0" w:line="240" w:lineRule="auto"/>
              <w:rPr>
                <w:color w:val="000000"/>
              </w:rPr>
            </w:pPr>
            <w:r w:rsidRPr="00B071B7">
              <w:rPr>
                <w:color w:val="000000"/>
              </w:rPr>
              <w:t>.58</w:t>
            </w:r>
          </w:p>
        </w:tc>
        <w:tc>
          <w:tcPr>
            <w:tcW w:w="1496" w:type="dxa"/>
            <w:tcBorders>
              <w:top w:val="single" w:sz="4" w:space="0" w:color="auto"/>
              <w:left w:val="nil"/>
              <w:bottom w:val="nil"/>
              <w:right w:val="nil"/>
            </w:tcBorders>
            <w:shd w:val="clear" w:color="auto" w:fill="auto"/>
            <w:noWrap/>
            <w:vAlign w:val="bottom"/>
            <w:hideMark/>
          </w:tcPr>
          <w:p w14:paraId="1538F7E1"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78270713" w14:textId="77777777" w:rsidTr="00F866EA">
        <w:trPr>
          <w:trHeight w:val="300"/>
        </w:trPr>
        <w:tc>
          <w:tcPr>
            <w:tcW w:w="2082" w:type="dxa"/>
            <w:tcBorders>
              <w:top w:val="nil"/>
              <w:left w:val="nil"/>
              <w:bottom w:val="nil"/>
              <w:right w:val="nil"/>
            </w:tcBorders>
            <w:shd w:val="clear" w:color="auto" w:fill="auto"/>
            <w:noWrap/>
            <w:vAlign w:val="bottom"/>
            <w:hideMark/>
          </w:tcPr>
          <w:p w14:paraId="61530D5B" w14:textId="77777777" w:rsidR="00237D87" w:rsidRPr="0021398F" w:rsidRDefault="00237D87" w:rsidP="00237D87">
            <w:pPr>
              <w:spacing w:after="0" w:line="240" w:lineRule="auto"/>
              <w:jc w:val="left"/>
              <w:rPr>
                <w:color w:val="000000"/>
              </w:rPr>
            </w:pPr>
            <w:r w:rsidRPr="0021398F">
              <w:rPr>
                <w:color w:val="000000"/>
              </w:rPr>
              <w:t>Australia</w:t>
            </w:r>
          </w:p>
        </w:tc>
        <w:tc>
          <w:tcPr>
            <w:tcW w:w="1426" w:type="dxa"/>
            <w:tcBorders>
              <w:top w:val="nil"/>
              <w:left w:val="nil"/>
              <w:bottom w:val="nil"/>
              <w:right w:val="nil"/>
            </w:tcBorders>
            <w:shd w:val="clear" w:color="auto" w:fill="auto"/>
            <w:noWrap/>
            <w:vAlign w:val="bottom"/>
            <w:hideMark/>
          </w:tcPr>
          <w:p w14:paraId="4A344748" w14:textId="32B3BFE7"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529F6C39" w14:textId="55F6F773" w:rsidR="00237D87" w:rsidRPr="00B071B7" w:rsidRDefault="00237D87" w:rsidP="00237D87">
            <w:pPr>
              <w:spacing w:after="0" w:line="240" w:lineRule="auto"/>
              <w:rPr>
                <w:color w:val="000000"/>
              </w:rPr>
            </w:pPr>
            <w:r>
              <w:rPr>
                <w:color w:val="000000"/>
              </w:rPr>
              <w:t>.57</w:t>
            </w:r>
          </w:p>
        </w:tc>
        <w:tc>
          <w:tcPr>
            <w:tcW w:w="1559" w:type="dxa"/>
            <w:tcBorders>
              <w:top w:val="nil"/>
              <w:left w:val="nil"/>
              <w:bottom w:val="nil"/>
              <w:right w:val="nil"/>
            </w:tcBorders>
            <w:shd w:val="clear" w:color="auto" w:fill="auto"/>
            <w:noWrap/>
            <w:vAlign w:val="center"/>
            <w:hideMark/>
          </w:tcPr>
          <w:p w14:paraId="4907A318" w14:textId="77777777" w:rsidR="00237D87" w:rsidRPr="00B071B7" w:rsidRDefault="00237D87" w:rsidP="00237D87">
            <w:pPr>
              <w:spacing w:after="0" w:line="240" w:lineRule="auto"/>
              <w:rPr>
                <w:color w:val="000000"/>
              </w:rPr>
            </w:pPr>
            <w:r w:rsidRPr="00B071B7">
              <w:rPr>
                <w:color w:val="000000"/>
              </w:rPr>
              <w:t>.64</w:t>
            </w:r>
          </w:p>
        </w:tc>
        <w:tc>
          <w:tcPr>
            <w:tcW w:w="1496" w:type="dxa"/>
            <w:tcBorders>
              <w:top w:val="nil"/>
              <w:left w:val="nil"/>
              <w:bottom w:val="nil"/>
              <w:right w:val="nil"/>
            </w:tcBorders>
            <w:shd w:val="clear" w:color="auto" w:fill="auto"/>
            <w:noWrap/>
            <w:vAlign w:val="bottom"/>
            <w:hideMark/>
          </w:tcPr>
          <w:p w14:paraId="4508A822" w14:textId="77777777" w:rsidR="00237D87" w:rsidRPr="00B071B7" w:rsidRDefault="00237D87" w:rsidP="00237D87">
            <w:pPr>
              <w:spacing w:after="0" w:line="240" w:lineRule="auto"/>
              <w:rPr>
                <w:color w:val="000000"/>
              </w:rPr>
            </w:pPr>
            <w:r w:rsidRPr="00B071B7">
              <w:rPr>
                <w:color w:val="000000"/>
              </w:rPr>
              <w:t>.45</w:t>
            </w:r>
          </w:p>
        </w:tc>
      </w:tr>
      <w:tr w:rsidR="00237D87" w:rsidRPr="00B071B7" w14:paraId="59911056" w14:textId="77777777" w:rsidTr="00F866EA">
        <w:trPr>
          <w:trHeight w:val="300"/>
        </w:trPr>
        <w:tc>
          <w:tcPr>
            <w:tcW w:w="2082" w:type="dxa"/>
            <w:tcBorders>
              <w:top w:val="nil"/>
              <w:left w:val="nil"/>
              <w:bottom w:val="nil"/>
              <w:right w:val="nil"/>
            </w:tcBorders>
            <w:shd w:val="clear" w:color="auto" w:fill="auto"/>
            <w:noWrap/>
            <w:vAlign w:val="bottom"/>
            <w:hideMark/>
          </w:tcPr>
          <w:p w14:paraId="0C47653B" w14:textId="77777777" w:rsidR="00237D87" w:rsidRPr="0021398F" w:rsidRDefault="00237D87" w:rsidP="00237D87">
            <w:pPr>
              <w:spacing w:after="0" w:line="240" w:lineRule="auto"/>
              <w:jc w:val="left"/>
              <w:rPr>
                <w:color w:val="000000"/>
              </w:rPr>
            </w:pPr>
            <w:r w:rsidRPr="0021398F">
              <w:rPr>
                <w:color w:val="000000"/>
              </w:rPr>
              <w:t>Austria</w:t>
            </w:r>
          </w:p>
        </w:tc>
        <w:tc>
          <w:tcPr>
            <w:tcW w:w="1426" w:type="dxa"/>
            <w:tcBorders>
              <w:top w:val="nil"/>
              <w:left w:val="nil"/>
              <w:bottom w:val="nil"/>
              <w:right w:val="nil"/>
            </w:tcBorders>
            <w:shd w:val="clear" w:color="auto" w:fill="auto"/>
            <w:noWrap/>
            <w:vAlign w:val="bottom"/>
            <w:hideMark/>
          </w:tcPr>
          <w:p w14:paraId="2A034FB1" w14:textId="0BFC6D3A" w:rsidR="00237D87" w:rsidRPr="00B071B7" w:rsidRDefault="00237D87" w:rsidP="00237D87">
            <w:pPr>
              <w:spacing w:after="0" w:line="240" w:lineRule="auto"/>
              <w:rPr>
                <w:color w:val="000000"/>
              </w:rPr>
            </w:pPr>
            <w:r>
              <w:rPr>
                <w:color w:val="000000"/>
              </w:rPr>
              <w:t>.78</w:t>
            </w:r>
          </w:p>
        </w:tc>
        <w:tc>
          <w:tcPr>
            <w:tcW w:w="1462" w:type="dxa"/>
            <w:tcBorders>
              <w:top w:val="nil"/>
              <w:left w:val="nil"/>
              <w:bottom w:val="nil"/>
              <w:right w:val="nil"/>
            </w:tcBorders>
            <w:shd w:val="clear" w:color="auto" w:fill="auto"/>
            <w:noWrap/>
            <w:vAlign w:val="bottom"/>
            <w:hideMark/>
          </w:tcPr>
          <w:p w14:paraId="5C15092C" w14:textId="08B52C19" w:rsidR="00237D87" w:rsidRPr="00B071B7" w:rsidRDefault="00237D87" w:rsidP="00237D87">
            <w:pPr>
              <w:spacing w:after="0" w:line="240" w:lineRule="auto"/>
              <w:rPr>
                <w:color w:val="000000"/>
              </w:rPr>
            </w:pPr>
            <w:r>
              <w:rPr>
                <w:color w:val="000000"/>
              </w:rPr>
              <w:t>.60</w:t>
            </w:r>
          </w:p>
        </w:tc>
        <w:tc>
          <w:tcPr>
            <w:tcW w:w="1559" w:type="dxa"/>
            <w:tcBorders>
              <w:top w:val="nil"/>
              <w:left w:val="nil"/>
              <w:bottom w:val="nil"/>
              <w:right w:val="nil"/>
            </w:tcBorders>
            <w:shd w:val="clear" w:color="auto" w:fill="auto"/>
            <w:noWrap/>
            <w:vAlign w:val="center"/>
            <w:hideMark/>
          </w:tcPr>
          <w:p w14:paraId="2E0DCEF4" w14:textId="77777777" w:rsidR="00237D87" w:rsidRPr="00B071B7" w:rsidRDefault="00237D87" w:rsidP="00237D87">
            <w:pPr>
              <w:spacing w:after="0" w:line="240" w:lineRule="auto"/>
              <w:rPr>
                <w:color w:val="000000"/>
              </w:rPr>
            </w:pPr>
            <w:r w:rsidRPr="00B071B7">
              <w:rPr>
                <w:color w:val="000000"/>
              </w:rPr>
              <w:t>.55</w:t>
            </w:r>
          </w:p>
        </w:tc>
        <w:tc>
          <w:tcPr>
            <w:tcW w:w="1496" w:type="dxa"/>
            <w:tcBorders>
              <w:top w:val="nil"/>
              <w:left w:val="nil"/>
              <w:bottom w:val="nil"/>
              <w:right w:val="nil"/>
            </w:tcBorders>
            <w:shd w:val="clear" w:color="auto" w:fill="auto"/>
            <w:noWrap/>
            <w:vAlign w:val="bottom"/>
            <w:hideMark/>
          </w:tcPr>
          <w:p w14:paraId="62C924AE" w14:textId="77777777" w:rsidR="00237D87" w:rsidRPr="00B071B7" w:rsidRDefault="00237D87" w:rsidP="00237D87">
            <w:pPr>
              <w:spacing w:after="0" w:line="240" w:lineRule="auto"/>
              <w:rPr>
                <w:color w:val="000000"/>
              </w:rPr>
            </w:pPr>
            <w:r w:rsidRPr="00B071B7">
              <w:rPr>
                <w:color w:val="000000"/>
              </w:rPr>
              <w:t>.41</w:t>
            </w:r>
          </w:p>
        </w:tc>
      </w:tr>
      <w:tr w:rsidR="00237D87" w:rsidRPr="00B071B7" w14:paraId="3823B1E5" w14:textId="77777777" w:rsidTr="00F866EA">
        <w:trPr>
          <w:trHeight w:val="300"/>
        </w:trPr>
        <w:tc>
          <w:tcPr>
            <w:tcW w:w="2082" w:type="dxa"/>
            <w:tcBorders>
              <w:top w:val="nil"/>
              <w:left w:val="nil"/>
              <w:bottom w:val="nil"/>
              <w:right w:val="nil"/>
            </w:tcBorders>
            <w:shd w:val="clear" w:color="auto" w:fill="auto"/>
            <w:noWrap/>
            <w:vAlign w:val="bottom"/>
            <w:hideMark/>
          </w:tcPr>
          <w:p w14:paraId="2D2C8703" w14:textId="77777777" w:rsidR="00237D87" w:rsidRPr="0021398F" w:rsidRDefault="00237D87" w:rsidP="00237D87">
            <w:pPr>
              <w:spacing w:after="0" w:line="240" w:lineRule="auto"/>
              <w:jc w:val="left"/>
              <w:rPr>
                <w:color w:val="000000"/>
              </w:rPr>
            </w:pPr>
            <w:r w:rsidRPr="0021398F">
              <w:rPr>
                <w:color w:val="000000"/>
              </w:rPr>
              <w:t>Belgium</w:t>
            </w:r>
          </w:p>
        </w:tc>
        <w:tc>
          <w:tcPr>
            <w:tcW w:w="1426" w:type="dxa"/>
            <w:tcBorders>
              <w:top w:val="nil"/>
              <w:left w:val="nil"/>
              <w:bottom w:val="nil"/>
              <w:right w:val="nil"/>
            </w:tcBorders>
            <w:shd w:val="clear" w:color="auto" w:fill="auto"/>
            <w:noWrap/>
            <w:vAlign w:val="bottom"/>
            <w:hideMark/>
          </w:tcPr>
          <w:p w14:paraId="20445AC7" w14:textId="3AB9AF61" w:rsidR="00237D87" w:rsidRPr="00B071B7" w:rsidRDefault="00237D87" w:rsidP="00237D87">
            <w:pPr>
              <w:spacing w:after="0" w:line="240" w:lineRule="auto"/>
              <w:rPr>
                <w:color w:val="000000"/>
              </w:rPr>
            </w:pPr>
            <w:r>
              <w:rPr>
                <w:color w:val="000000"/>
              </w:rPr>
              <w:t>.81</w:t>
            </w:r>
          </w:p>
        </w:tc>
        <w:tc>
          <w:tcPr>
            <w:tcW w:w="1462" w:type="dxa"/>
            <w:tcBorders>
              <w:top w:val="nil"/>
              <w:left w:val="nil"/>
              <w:bottom w:val="nil"/>
              <w:right w:val="nil"/>
            </w:tcBorders>
            <w:shd w:val="clear" w:color="auto" w:fill="auto"/>
            <w:noWrap/>
            <w:vAlign w:val="bottom"/>
            <w:hideMark/>
          </w:tcPr>
          <w:p w14:paraId="795B5237" w14:textId="4FBFD338" w:rsidR="00237D87" w:rsidRPr="00B071B7" w:rsidRDefault="00237D87" w:rsidP="00237D87">
            <w:pPr>
              <w:spacing w:after="0" w:line="240" w:lineRule="auto"/>
              <w:rPr>
                <w:color w:val="000000"/>
              </w:rPr>
            </w:pPr>
            <w:r>
              <w:rPr>
                <w:color w:val="000000"/>
              </w:rPr>
              <w:t>.48</w:t>
            </w:r>
          </w:p>
        </w:tc>
        <w:tc>
          <w:tcPr>
            <w:tcW w:w="1559" w:type="dxa"/>
            <w:tcBorders>
              <w:top w:val="nil"/>
              <w:left w:val="nil"/>
              <w:bottom w:val="nil"/>
              <w:right w:val="nil"/>
            </w:tcBorders>
            <w:shd w:val="clear" w:color="auto" w:fill="auto"/>
            <w:noWrap/>
            <w:vAlign w:val="center"/>
            <w:hideMark/>
          </w:tcPr>
          <w:p w14:paraId="3F6E0496" w14:textId="77777777" w:rsidR="00237D87" w:rsidRPr="00B071B7" w:rsidRDefault="00237D87" w:rsidP="00237D87">
            <w:pPr>
              <w:spacing w:after="0" w:line="240" w:lineRule="auto"/>
              <w:rPr>
                <w:color w:val="000000"/>
              </w:rPr>
            </w:pPr>
            <w:r w:rsidRPr="00B071B7">
              <w:rPr>
                <w:color w:val="000000"/>
              </w:rPr>
              <w:t>.57</w:t>
            </w:r>
          </w:p>
        </w:tc>
        <w:tc>
          <w:tcPr>
            <w:tcW w:w="1496" w:type="dxa"/>
            <w:tcBorders>
              <w:top w:val="nil"/>
              <w:left w:val="nil"/>
              <w:bottom w:val="nil"/>
              <w:right w:val="nil"/>
            </w:tcBorders>
            <w:shd w:val="clear" w:color="auto" w:fill="auto"/>
            <w:noWrap/>
            <w:vAlign w:val="bottom"/>
            <w:hideMark/>
          </w:tcPr>
          <w:p w14:paraId="7AB2CB06"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6B341850" w14:textId="77777777" w:rsidTr="00F866EA">
        <w:trPr>
          <w:trHeight w:val="300"/>
        </w:trPr>
        <w:tc>
          <w:tcPr>
            <w:tcW w:w="2082" w:type="dxa"/>
            <w:tcBorders>
              <w:top w:val="nil"/>
              <w:left w:val="nil"/>
              <w:bottom w:val="nil"/>
              <w:right w:val="nil"/>
            </w:tcBorders>
            <w:shd w:val="clear" w:color="auto" w:fill="auto"/>
            <w:noWrap/>
            <w:vAlign w:val="bottom"/>
            <w:hideMark/>
          </w:tcPr>
          <w:p w14:paraId="4C6C7CD3" w14:textId="77777777" w:rsidR="00237D87" w:rsidRPr="0021398F" w:rsidRDefault="00237D87" w:rsidP="00237D87">
            <w:pPr>
              <w:spacing w:after="0" w:line="240" w:lineRule="auto"/>
              <w:jc w:val="left"/>
              <w:rPr>
                <w:color w:val="000000"/>
              </w:rPr>
            </w:pPr>
            <w:r w:rsidRPr="0021398F">
              <w:rPr>
                <w:color w:val="000000"/>
              </w:rPr>
              <w:t>Bolivia</w:t>
            </w:r>
          </w:p>
        </w:tc>
        <w:tc>
          <w:tcPr>
            <w:tcW w:w="1426" w:type="dxa"/>
            <w:tcBorders>
              <w:top w:val="nil"/>
              <w:left w:val="nil"/>
              <w:bottom w:val="nil"/>
              <w:right w:val="nil"/>
            </w:tcBorders>
            <w:shd w:val="clear" w:color="auto" w:fill="auto"/>
            <w:noWrap/>
            <w:vAlign w:val="bottom"/>
            <w:hideMark/>
          </w:tcPr>
          <w:p w14:paraId="78FD944C" w14:textId="496CDB05"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332F2C29" w14:textId="44C47254" w:rsidR="00237D87" w:rsidRPr="00B071B7" w:rsidRDefault="00237D87" w:rsidP="00237D87">
            <w:pPr>
              <w:spacing w:after="0" w:line="240" w:lineRule="auto"/>
              <w:rPr>
                <w:color w:val="000000"/>
              </w:rPr>
            </w:pPr>
            <w:r>
              <w:rPr>
                <w:color w:val="000000"/>
              </w:rPr>
              <w:t>.59</w:t>
            </w:r>
          </w:p>
        </w:tc>
        <w:tc>
          <w:tcPr>
            <w:tcW w:w="1559" w:type="dxa"/>
            <w:tcBorders>
              <w:top w:val="nil"/>
              <w:left w:val="nil"/>
              <w:bottom w:val="nil"/>
              <w:right w:val="nil"/>
            </w:tcBorders>
            <w:shd w:val="clear" w:color="auto" w:fill="auto"/>
            <w:noWrap/>
            <w:vAlign w:val="center"/>
            <w:hideMark/>
          </w:tcPr>
          <w:p w14:paraId="33BDE0CF" w14:textId="77777777" w:rsidR="00237D87" w:rsidRPr="00B071B7" w:rsidRDefault="00237D87" w:rsidP="00237D87">
            <w:pPr>
              <w:spacing w:after="0" w:line="240" w:lineRule="auto"/>
              <w:rPr>
                <w:color w:val="000000"/>
              </w:rPr>
            </w:pPr>
            <w:r w:rsidRPr="00B071B7">
              <w:rPr>
                <w:color w:val="000000"/>
              </w:rPr>
              <w:t>.66</w:t>
            </w:r>
          </w:p>
        </w:tc>
        <w:tc>
          <w:tcPr>
            <w:tcW w:w="1496" w:type="dxa"/>
            <w:tcBorders>
              <w:top w:val="nil"/>
              <w:left w:val="nil"/>
              <w:bottom w:val="nil"/>
              <w:right w:val="nil"/>
            </w:tcBorders>
            <w:shd w:val="clear" w:color="auto" w:fill="auto"/>
            <w:noWrap/>
            <w:vAlign w:val="bottom"/>
            <w:hideMark/>
          </w:tcPr>
          <w:p w14:paraId="16663CB8" w14:textId="77777777" w:rsidR="00237D87" w:rsidRPr="00B071B7" w:rsidRDefault="00237D87" w:rsidP="00237D87">
            <w:pPr>
              <w:spacing w:after="0" w:line="240" w:lineRule="auto"/>
              <w:rPr>
                <w:color w:val="000000"/>
              </w:rPr>
            </w:pPr>
            <w:r w:rsidRPr="00B071B7">
              <w:rPr>
                <w:color w:val="000000"/>
              </w:rPr>
              <w:t>.49</w:t>
            </w:r>
          </w:p>
        </w:tc>
      </w:tr>
      <w:tr w:rsidR="00237D87" w:rsidRPr="00B071B7" w14:paraId="53232D59" w14:textId="77777777" w:rsidTr="00F866EA">
        <w:trPr>
          <w:trHeight w:val="300"/>
        </w:trPr>
        <w:tc>
          <w:tcPr>
            <w:tcW w:w="2082" w:type="dxa"/>
            <w:tcBorders>
              <w:top w:val="nil"/>
              <w:left w:val="nil"/>
              <w:bottom w:val="nil"/>
              <w:right w:val="nil"/>
            </w:tcBorders>
            <w:shd w:val="clear" w:color="auto" w:fill="auto"/>
            <w:noWrap/>
            <w:vAlign w:val="bottom"/>
            <w:hideMark/>
          </w:tcPr>
          <w:p w14:paraId="48959B1D" w14:textId="77777777" w:rsidR="00237D87" w:rsidRPr="0021398F" w:rsidRDefault="00237D87" w:rsidP="00237D87">
            <w:pPr>
              <w:spacing w:after="0" w:line="240" w:lineRule="auto"/>
              <w:jc w:val="left"/>
              <w:rPr>
                <w:color w:val="000000"/>
              </w:rPr>
            </w:pPr>
            <w:r w:rsidRPr="0021398F">
              <w:rPr>
                <w:color w:val="000000"/>
              </w:rPr>
              <w:t>Brazil</w:t>
            </w:r>
          </w:p>
        </w:tc>
        <w:tc>
          <w:tcPr>
            <w:tcW w:w="1426" w:type="dxa"/>
            <w:tcBorders>
              <w:top w:val="nil"/>
              <w:left w:val="nil"/>
              <w:bottom w:val="nil"/>
              <w:right w:val="nil"/>
            </w:tcBorders>
            <w:shd w:val="clear" w:color="auto" w:fill="auto"/>
            <w:noWrap/>
            <w:vAlign w:val="bottom"/>
            <w:hideMark/>
          </w:tcPr>
          <w:p w14:paraId="2E6C90A9" w14:textId="5F82F4AE" w:rsidR="00237D87" w:rsidRPr="00B071B7" w:rsidRDefault="00237D87" w:rsidP="00237D87">
            <w:pPr>
              <w:spacing w:after="0" w:line="240" w:lineRule="auto"/>
              <w:rPr>
                <w:color w:val="000000"/>
              </w:rPr>
            </w:pPr>
            <w:r>
              <w:rPr>
                <w:color w:val="000000"/>
              </w:rPr>
              <w:t>.84</w:t>
            </w:r>
          </w:p>
        </w:tc>
        <w:tc>
          <w:tcPr>
            <w:tcW w:w="1462" w:type="dxa"/>
            <w:tcBorders>
              <w:top w:val="nil"/>
              <w:left w:val="nil"/>
              <w:bottom w:val="nil"/>
              <w:right w:val="nil"/>
            </w:tcBorders>
            <w:shd w:val="clear" w:color="auto" w:fill="auto"/>
            <w:noWrap/>
            <w:vAlign w:val="bottom"/>
            <w:hideMark/>
          </w:tcPr>
          <w:p w14:paraId="15F6772B" w14:textId="4F9BD881" w:rsidR="00237D87" w:rsidRPr="00B071B7" w:rsidRDefault="00237D87" w:rsidP="00237D87">
            <w:pPr>
              <w:spacing w:after="0" w:line="240" w:lineRule="auto"/>
              <w:rPr>
                <w:color w:val="000000"/>
              </w:rPr>
            </w:pPr>
            <w:r>
              <w:rPr>
                <w:color w:val="000000"/>
              </w:rPr>
              <w:t>.69</w:t>
            </w:r>
          </w:p>
        </w:tc>
        <w:tc>
          <w:tcPr>
            <w:tcW w:w="1559" w:type="dxa"/>
            <w:tcBorders>
              <w:top w:val="nil"/>
              <w:left w:val="nil"/>
              <w:bottom w:val="nil"/>
              <w:right w:val="nil"/>
            </w:tcBorders>
            <w:shd w:val="clear" w:color="auto" w:fill="auto"/>
            <w:noWrap/>
            <w:vAlign w:val="center"/>
            <w:hideMark/>
          </w:tcPr>
          <w:p w14:paraId="2B4662F2" w14:textId="77777777" w:rsidR="00237D87" w:rsidRPr="00B071B7" w:rsidRDefault="00237D87" w:rsidP="00237D87">
            <w:pPr>
              <w:spacing w:after="0" w:line="240" w:lineRule="auto"/>
              <w:rPr>
                <w:color w:val="000000"/>
              </w:rPr>
            </w:pPr>
            <w:r w:rsidRPr="00B071B7">
              <w:rPr>
                <w:color w:val="000000"/>
              </w:rPr>
              <w:t>.65</w:t>
            </w:r>
          </w:p>
        </w:tc>
        <w:tc>
          <w:tcPr>
            <w:tcW w:w="1496" w:type="dxa"/>
            <w:tcBorders>
              <w:top w:val="nil"/>
              <w:left w:val="nil"/>
              <w:bottom w:val="nil"/>
              <w:right w:val="nil"/>
            </w:tcBorders>
            <w:shd w:val="clear" w:color="auto" w:fill="auto"/>
            <w:noWrap/>
            <w:vAlign w:val="bottom"/>
            <w:hideMark/>
          </w:tcPr>
          <w:p w14:paraId="464EABD7" w14:textId="77777777" w:rsidR="00237D87" w:rsidRPr="00B071B7" w:rsidRDefault="00237D87" w:rsidP="00237D87">
            <w:pPr>
              <w:spacing w:after="0" w:line="240" w:lineRule="auto"/>
              <w:rPr>
                <w:color w:val="000000"/>
              </w:rPr>
            </w:pPr>
            <w:r w:rsidRPr="00B071B7">
              <w:rPr>
                <w:color w:val="000000"/>
              </w:rPr>
              <w:t>.47</w:t>
            </w:r>
          </w:p>
        </w:tc>
      </w:tr>
      <w:tr w:rsidR="00237D87" w:rsidRPr="00B071B7" w14:paraId="13DD6878" w14:textId="77777777" w:rsidTr="00F866EA">
        <w:trPr>
          <w:trHeight w:val="300"/>
        </w:trPr>
        <w:tc>
          <w:tcPr>
            <w:tcW w:w="2082" w:type="dxa"/>
            <w:tcBorders>
              <w:top w:val="nil"/>
              <w:left w:val="nil"/>
              <w:bottom w:val="nil"/>
              <w:right w:val="nil"/>
            </w:tcBorders>
            <w:shd w:val="clear" w:color="auto" w:fill="auto"/>
            <w:noWrap/>
            <w:vAlign w:val="bottom"/>
            <w:hideMark/>
          </w:tcPr>
          <w:p w14:paraId="078F8BCC" w14:textId="77777777" w:rsidR="00237D87" w:rsidRPr="0021398F" w:rsidRDefault="00237D87" w:rsidP="00237D87">
            <w:pPr>
              <w:spacing w:after="0" w:line="240" w:lineRule="auto"/>
              <w:jc w:val="left"/>
              <w:rPr>
                <w:color w:val="000000"/>
              </w:rPr>
            </w:pPr>
            <w:r w:rsidRPr="0021398F">
              <w:rPr>
                <w:color w:val="000000"/>
              </w:rPr>
              <w:t>Bulgaria</w:t>
            </w:r>
          </w:p>
        </w:tc>
        <w:tc>
          <w:tcPr>
            <w:tcW w:w="1426" w:type="dxa"/>
            <w:tcBorders>
              <w:top w:val="nil"/>
              <w:left w:val="nil"/>
              <w:bottom w:val="nil"/>
              <w:right w:val="nil"/>
            </w:tcBorders>
            <w:shd w:val="clear" w:color="auto" w:fill="auto"/>
            <w:noWrap/>
            <w:vAlign w:val="bottom"/>
            <w:hideMark/>
          </w:tcPr>
          <w:p w14:paraId="28F2CA22" w14:textId="78FFDE40" w:rsidR="00237D87" w:rsidRPr="00B071B7" w:rsidRDefault="00237D87" w:rsidP="00237D87">
            <w:pPr>
              <w:spacing w:after="0" w:line="240" w:lineRule="auto"/>
              <w:rPr>
                <w:color w:val="000000"/>
              </w:rPr>
            </w:pPr>
            <w:r>
              <w:rPr>
                <w:color w:val="000000"/>
              </w:rPr>
              <w:t>.88</w:t>
            </w:r>
          </w:p>
        </w:tc>
        <w:tc>
          <w:tcPr>
            <w:tcW w:w="1462" w:type="dxa"/>
            <w:tcBorders>
              <w:top w:val="nil"/>
              <w:left w:val="nil"/>
              <w:bottom w:val="nil"/>
              <w:right w:val="nil"/>
            </w:tcBorders>
            <w:shd w:val="clear" w:color="auto" w:fill="auto"/>
            <w:noWrap/>
            <w:vAlign w:val="bottom"/>
            <w:hideMark/>
          </w:tcPr>
          <w:p w14:paraId="05413699" w14:textId="757E0DAE" w:rsidR="00237D87" w:rsidRPr="00B071B7" w:rsidRDefault="00237D87" w:rsidP="00237D87">
            <w:pPr>
              <w:spacing w:after="0" w:line="240" w:lineRule="auto"/>
              <w:rPr>
                <w:color w:val="000000"/>
              </w:rPr>
            </w:pPr>
            <w:r>
              <w:rPr>
                <w:color w:val="000000"/>
              </w:rPr>
              <w:t>.63</w:t>
            </w:r>
          </w:p>
        </w:tc>
        <w:tc>
          <w:tcPr>
            <w:tcW w:w="1559" w:type="dxa"/>
            <w:tcBorders>
              <w:top w:val="nil"/>
              <w:left w:val="nil"/>
              <w:bottom w:val="nil"/>
              <w:right w:val="nil"/>
            </w:tcBorders>
            <w:shd w:val="clear" w:color="auto" w:fill="auto"/>
            <w:noWrap/>
            <w:vAlign w:val="center"/>
            <w:hideMark/>
          </w:tcPr>
          <w:p w14:paraId="31D8408F" w14:textId="77777777" w:rsidR="00237D87" w:rsidRPr="00B071B7" w:rsidRDefault="00237D87" w:rsidP="00237D87">
            <w:pPr>
              <w:spacing w:after="0" w:line="240" w:lineRule="auto"/>
              <w:rPr>
                <w:color w:val="000000"/>
              </w:rPr>
            </w:pPr>
            <w:r w:rsidRPr="00B071B7">
              <w:rPr>
                <w:color w:val="000000"/>
              </w:rPr>
              <w:t>.74</w:t>
            </w:r>
          </w:p>
        </w:tc>
        <w:tc>
          <w:tcPr>
            <w:tcW w:w="1496" w:type="dxa"/>
            <w:tcBorders>
              <w:top w:val="nil"/>
              <w:left w:val="nil"/>
              <w:bottom w:val="nil"/>
              <w:right w:val="nil"/>
            </w:tcBorders>
            <w:shd w:val="clear" w:color="auto" w:fill="auto"/>
            <w:noWrap/>
            <w:vAlign w:val="bottom"/>
            <w:hideMark/>
          </w:tcPr>
          <w:p w14:paraId="50317189" w14:textId="77777777" w:rsidR="00237D87" w:rsidRPr="00B071B7" w:rsidRDefault="00237D87" w:rsidP="00237D87">
            <w:pPr>
              <w:spacing w:after="0" w:line="240" w:lineRule="auto"/>
              <w:rPr>
                <w:color w:val="000000"/>
              </w:rPr>
            </w:pPr>
            <w:r w:rsidRPr="00B071B7">
              <w:rPr>
                <w:color w:val="000000"/>
              </w:rPr>
              <w:t>.54</w:t>
            </w:r>
          </w:p>
        </w:tc>
      </w:tr>
      <w:tr w:rsidR="00237D87" w:rsidRPr="00B071B7" w14:paraId="60B808D0" w14:textId="77777777" w:rsidTr="00F866EA">
        <w:trPr>
          <w:trHeight w:val="300"/>
        </w:trPr>
        <w:tc>
          <w:tcPr>
            <w:tcW w:w="2082" w:type="dxa"/>
            <w:tcBorders>
              <w:top w:val="nil"/>
              <w:left w:val="nil"/>
              <w:bottom w:val="nil"/>
              <w:right w:val="nil"/>
            </w:tcBorders>
            <w:shd w:val="clear" w:color="auto" w:fill="auto"/>
            <w:noWrap/>
            <w:vAlign w:val="bottom"/>
            <w:hideMark/>
          </w:tcPr>
          <w:p w14:paraId="2FFD72F3" w14:textId="77777777" w:rsidR="00237D87" w:rsidRPr="0021398F" w:rsidRDefault="00237D87" w:rsidP="00237D87">
            <w:pPr>
              <w:spacing w:after="0" w:line="240" w:lineRule="auto"/>
              <w:jc w:val="left"/>
              <w:rPr>
                <w:color w:val="000000"/>
              </w:rPr>
            </w:pPr>
            <w:r w:rsidRPr="0021398F">
              <w:rPr>
                <w:color w:val="000000"/>
              </w:rPr>
              <w:t>Canada</w:t>
            </w:r>
          </w:p>
        </w:tc>
        <w:tc>
          <w:tcPr>
            <w:tcW w:w="1426" w:type="dxa"/>
            <w:tcBorders>
              <w:top w:val="nil"/>
              <w:left w:val="nil"/>
              <w:bottom w:val="nil"/>
              <w:right w:val="nil"/>
            </w:tcBorders>
            <w:shd w:val="clear" w:color="auto" w:fill="auto"/>
            <w:noWrap/>
            <w:vAlign w:val="bottom"/>
            <w:hideMark/>
          </w:tcPr>
          <w:p w14:paraId="292FA653" w14:textId="570C96F0"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240C9406" w14:textId="4505AF09" w:rsidR="00237D87" w:rsidRPr="00B071B7" w:rsidRDefault="00237D87" w:rsidP="00237D87">
            <w:pPr>
              <w:spacing w:after="0" w:line="240" w:lineRule="auto"/>
              <w:rPr>
                <w:color w:val="000000"/>
              </w:rPr>
            </w:pPr>
            <w:r>
              <w:rPr>
                <w:color w:val="000000"/>
              </w:rPr>
              <w:t>.66</w:t>
            </w:r>
          </w:p>
        </w:tc>
        <w:tc>
          <w:tcPr>
            <w:tcW w:w="1559" w:type="dxa"/>
            <w:tcBorders>
              <w:top w:val="nil"/>
              <w:left w:val="nil"/>
              <w:bottom w:val="nil"/>
              <w:right w:val="nil"/>
            </w:tcBorders>
            <w:shd w:val="clear" w:color="auto" w:fill="auto"/>
            <w:noWrap/>
            <w:vAlign w:val="center"/>
            <w:hideMark/>
          </w:tcPr>
          <w:p w14:paraId="119763CD" w14:textId="77777777" w:rsidR="00237D87" w:rsidRPr="00B071B7" w:rsidRDefault="00237D87" w:rsidP="00237D87">
            <w:pPr>
              <w:spacing w:after="0" w:line="240" w:lineRule="auto"/>
              <w:rPr>
                <w:color w:val="000000"/>
              </w:rPr>
            </w:pPr>
            <w:r w:rsidRPr="00B071B7">
              <w:rPr>
                <w:color w:val="000000"/>
              </w:rPr>
              <w:t>.68</w:t>
            </w:r>
          </w:p>
        </w:tc>
        <w:tc>
          <w:tcPr>
            <w:tcW w:w="1496" w:type="dxa"/>
            <w:tcBorders>
              <w:top w:val="nil"/>
              <w:left w:val="nil"/>
              <w:bottom w:val="nil"/>
              <w:right w:val="nil"/>
            </w:tcBorders>
            <w:shd w:val="clear" w:color="auto" w:fill="auto"/>
            <w:noWrap/>
            <w:vAlign w:val="bottom"/>
            <w:hideMark/>
          </w:tcPr>
          <w:p w14:paraId="77DC7D18" w14:textId="77777777" w:rsidR="00237D87" w:rsidRPr="00B071B7" w:rsidRDefault="00237D87" w:rsidP="00237D87">
            <w:pPr>
              <w:spacing w:after="0" w:line="240" w:lineRule="auto"/>
              <w:rPr>
                <w:color w:val="000000"/>
              </w:rPr>
            </w:pPr>
            <w:r w:rsidRPr="00B071B7">
              <w:rPr>
                <w:color w:val="000000"/>
              </w:rPr>
              <w:t>.47</w:t>
            </w:r>
          </w:p>
        </w:tc>
      </w:tr>
      <w:tr w:rsidR="00237D87" w:rsidRPr="00B071B7" w14:paraId="32D24969" w14:textId="77777777" w:rsidTr="00F866EA">
        <w:trPr>
          <w:trHeight w:val="300"/>
        </w:trPr>
        <w:tc>
          <w:tcPr>
            <w:tcW w:w="2082" w:type="dxa"/>
            <w:tcBorders>
              <w:top w:val="nil"/>
              <w:left w:val="nil"/>
              <w:bottom w:val="nil"/>
              <w:right w:val="nil"/>
            </w:tcBorders>
            <w:shd w:val="clear" w:color="auto" w:fill="auto"/>
            <w:noWrap/>
            <w:vAlign w:val="bottom"/>
            <w:hideMark/>
          </w:tcPr>
          <w:p w14:paraId="0F370096" w14:textId="77777777" w:rsidR="00237D87" w:rsidRPr="0021398F" w:rsidRDefault="00237D87" w:rsidP="00237D87">
            <w:pPr>
              <w:spacing w:after="0" w:line="240" w:lineRule="auto"/>
              <w:jc w:val="left"/>
              <w:rPr>
                <w:color w:val="000000"/>
              </w:rPr>
            </w:pPr>
            <w:r w:rsidRPr="0021398F">
              <w:rPr>
                <w:color w:val="000000"/>
              </w:rPr>
              <w:t>Chile</w:t>
            </w:r>
          </w:p>
        </w:tc>
        <w:tc>
          <w:tcPr>
            <w:tcW w:w="1426" w:type="dxa"/>
            <w:tcBorders>
              <w:top w:val="nil"/>
              <w:left w:val="nil"/>
              <w:bottom w:val="nil"/>
              <w:right w:val="nil"/>
            </w:tcBorders>
            <w:shd w:val="clear" w:color="auto" w:fill="auto"/>
            <w:noWrap/>
            <w:vAlign w:val="bottom"/>
            <w:hideMark/>
          </w:tcPr>
          <w:p w14:paraId="4C1E38FB" w14:textId="49BFE215" w:rsidR="00237D87" w:rsidRPr="00B071B7" w:rsidRDefault="00237D87" w:rsidP="00237D87">
            <w:pPr>
              <w:spacing w:after="0" w:line="240" w:lineRule="auto"/>
              <w:rPr>
                <w:color w:val="000000"/>
              </w:rPr>
            </w:pPr>
            <w:r>
              <w:rPr>
                <w:color w:val="000000"/>
              </w:rPr>
              <w:t>.87</w:t>
            </w:r>
          </w:p>
        </w:tc>
        <w:tc>
          <w:tcPr>
            <w:tcW w:w="1462" w:type="dxa"/>
            <w:tcBorders>
              <w:top w:val="nil"/>
              <w:left w:val="nil"/>
              <w:bottom w:val="nil"/>
              <w:right w:val="nil"/>
            </w:tcBorders>
            <w:shd w:val="clear" w:color="auto" w:fill="auto"/>
            <w:noWrap/>
            <w:vAlign w:val="bottom"/>
            <w:hideMark/>
          </w:tcPr>
          <w:p w14:paraId="3E7CE1C1" w14:textId="7DF3C32C" w:rsidR="00237D87" w:rsidRPr="00B071B7" w:rsidRDefault="00237D87" w:rsidP="00237D87">
            <w:pPr>
              <w:spacing w:after="0" w:line="240" w:lineRule="auto"/>
              <w:rPr>
                <w:color w:val="000000"/>
              </w:rPr>
            </w:pPr>
            <w:r>
              <w:rPr>
                <w:color w:val="000000"/>
              </w:rPr>
              <w:t>.74</w:t>
            </w:r>
          </w:p>
        </w:tc>
        <w:tc>
          <w:tcPr>
            <w:tcW w:w="1559" w:type="dxa"/>
            <w:tcBorders>
              <w:top w:val="nil"/>
              <w:left w:val="nil"/>
              <w:bottom w:val="nil"/>
              <w:right w:val="nil"/>
            </w:tcBorders>
            <w:shd w:val="clear" w:color="auto" w:fill="auto"/>
            <w:noWrap/>
            <w:vAlign w:val="center"/>
            <w:hideMark/>
          </w:tcPr>
          <w:p w14:paraId="57ED8A85" w14:textId="77777777" w:rsidR="00237D87" w:rsidRPr="00B071B7" w:rsidRDefault="00237D87" w:rsidP="00237D87">
            <w:pPr>
              <w:spacing w:after="0" w:line="240" w:lineRule="auto"/>
              <w:rPr>
                <w:color w:val="000000"/>
              </w:rPr>
            </w:pPr>
            <w:r w:rsidRPr="00B071B7">
              <w:rPr>
                <w:color w:val="000000"/>
              </w:rPr>
              <w:t>.73</w:t>
            </w:r>
          </w:p>
        </w:tc>
        <w:tc>
          <w:tcPr>
            <w:tcW w:w="1496" w:type="dxa"/>
            <w:tcBorders>
              <w:top w:val="nil"/>
              <w:left w:val="nil"/>
              <w:bottom w:val="nil"/>
              <w:right w:val="nil"/>
            </w:tcBorders>
            <w:shd w:val="clear" w:color="auto" w:fill="auto"/>
            <w:noWrap/>
            <w:vAlign w:val="bottom"/>
            <w:hideMark/>
          </w:tcPr>
          <w:p w14:paraId="4EE7EF40" w14:textId="77777777" w:rsidR="00237D87" w:rsidRPr="00B071B7" w:rsidRDefault="00237D87" w:rsidP="00237D87">
            <w:pPr>
              <w:spacing w:after="0" w:line="240" w:lineRule="auto"/>
              <w:rPr>
                <w:color w:val="000000"/>
              </w:rPr>
            </w:pPr>
            <w:r w:rsidRPr="00B071B7">
              <w:rPr>
                <w:color w:val="000000"/>
              </w:rPr>
              <w:t>.50</w:t>
            </w:r>
          </w:p>
        </w:tc>
      </w:tr>
      <w:tr w:rsidR="00237D87" w:rsidRPr="00B071B7" w14:paraId="5062A975" w14:textId="77777777" w:rsidTr="00F866EA">
        <w:trPr>
          <w:trHeight w:val="300"/>
        </w:trPr>
        <w:tc>
          <w:tcPr>
            <w:tcW w:w="2082" w:type="dxa"/>
            <w:tcBorders>
              <w:top w:val="nil"/>
              <w:left w:val="nil"/>
              <w:bottom w:val="nil"/>
              <w:right w:val="nil"/>
            </w:tcBorders>
            <w:shd w:val="clear" w:color="auto" w:fill="auto"/>
            <w:noWrap/>
            <w:vAlign w:val="bottom"/>
            <w:hideMark/>
          </w:tcPr>
          <w:p w14:paraId="48570ED8" w14:textId="77777777" w:rsidR="00237D87" w:rsidRPr="0021398F" w:rsidRDefault="00237D87" w:rsidP="00237D87">
            <w:pPr>
              <w:spacing w:after="0" w:line="240" w:lineRule="auto"/>
              <w:jc w:val="left"/>
              <w:rPr>
                <w:color w:val="000000"/>
              </w:rPr>
            </w:pPr>
            <w:r w:rsidRPr="0021398F">
              <w:rPr>
                <w:color w:val="000000"/>
              </w:rPr>
              <w:t>China</w:t>
            </w:r>
          </w:p>
        </w:tc>
        <w:tc>
          <w:tcPr>
            <w:tcW w:w="1426" w:type="dxa"/>
            <w:tcBorders>
              <w:top w:val="nil"/>
              <w:left w:val="nil"/>
              <w:bottom w:val="nil"/>
              <w:right w:val="nil"/>
            </w:tcBorders>
            <w:shd w:val="clear" w:color="auto" w:fill="auto"/>
            <w:noWrap/>
            <w:vAlign w:val="bottom"/>
            <w:hideMark/>
          </w:tcPr>
          <w:p w14:paraId="4EE15C2B" w14:textId="01B4E677" w:rsidR="00237D87" w:rsidRPr="00B071B7" w:rsidRDefault="00237D87" w:rsidP="00237D87">
            <w:pPr>
              <w:spacing w:after="0" w:line="240" w:lineRule="auto"/>
              <w:rPr>
                <w:color w:val="000000"/>
              </w:rPr>
            </w:pPr>
            <w:r>
              <w:rPr>
                <w:color w:val="000000"/>
              </w:rPr>
              <w:t>.88</w:t>
            </w:r>
          </w:p>
        </w:tc>
        <w:tc>
          <w:tcPr>
            <w:tcW w:w="1462" w:type="dxa"/>
            <w:tcBorders>
              <w:top w:val="nil"/>
              <w:left w:val="nil"/>
              <w:bottom w:val="nil"/>
              <w:right w:val="nil"/>
            </w:tcBorders>
            <w:shd w:val="clear" w:color="auto" w:fill="auto"/>
            <w:noWrap/>
            <w:vAlign w:val="bottom"/>
            <w:hideMark/>
          </w:tcPr>
          <w:p w14:paraId="3699C672" w14:textId="2E90FF0D" w:rsidR="00237D87" w:rsidRPr="00B071B7" w:rsidRDefault="00237D87" w:rsidP="00237D87">
            <w:pPr>
              <w:spacing w:after="0" w:line="240" w:lineRule="auto"/>
              <w:rPr>
                <w:color w:val="000000"/>
              </w:rPr>
            </w:pPr>
            <w:r>
              <w:rPr>
                <w:color w:val="000000"/>
              </w:rPr>
              <w:t>.73</w:t>
            </w:r>
          </w:p>
        </w:tc>
        <w:tc>
          <w:tcPr>
            <w:tcW w:w="1559" w:type="dxa"/>
            <w:tcBorders>
              <w:top w:val="nil"/>
              <w:left w:val="nil"/>
              <w:bottom w:val="nil"/>
              <w:right w:val="nil"/>
            </w:tcBorders>
            <w:shd w:val="clear" w:color="auto" w:fill="auto"/>
            <w:noWrap/>
            <w:vAlign w:val="center"/>
            <w:hideMark/>
          </w:tcPr>
          <w:p w14:paraId="445EE1AD" w14:textId="77777777" w:rsidR="00237D87" w:rsidRPr="00B071B7" w:rsidRDefault="00237D87" w:rsidP="00237D87">
            <w:pPr>
              <w:spacing w:after="0" w:line="240" w:lineRule="auto"/>
              <w:rPr>
                <w:color w:val="000000"/>
              </w:rPr>
            </w:pPr>
            <w:r w:rsidRPr="00B071B7">
              <w:rPr>
                <w:color w:val="000000"/>
              </w:rPr>
              <w:t>.80</w:t>
            </w:r>
          </w:p>
        </w:tc>
        <w:tc>
          <w:tcPr>
            <w:tcW w:w="1496" w:type="dxa"/>
            <w:tcBorders>
              <w:top w:val="nil"/>
              <w:left w:val="nil"/>
              <w:bottom w:val="nil"/>
              <w:right w:val="nil"/>
            </w:tcBorders>
            <w:shd w:val="clear" w:color="auto" w:fill="auto"/>
            <w:noWrap/>
            <w:vAlign w:val="bottom"/>
            <w:hideMark/>
          </w:tcPr>
          <w:p w14:paraId="070470A9" w14:textId="77777777" w:rsidR="00237D87" w:rsidRPr="00B071B7" w:rsidRDefault="00237D87" w:rsidP="00237D87">
            <w:pPr>
              <w:spacing w:after="0" w:line="240" w:lineRule="auto"/>
              <w:rPr>
                <w:color w:val="000000"/>
              </w:rPr>
            </w:pPr>
            <w:r w:rsidRPr="00B071B7">
              <w:rPr>
                <w:color w:val="000000"/>
              </w:rPr>
              <w:t>.49</w:t>
            </w:r>
          </w:p>
        </w:tc>
      </w:tr>
      <w:tr w:rsidR="00237D87" w:rsidRPr="00B071B7" w14:paraId="66FD58C7" w14:textId="77777777" w:rsidTr="00F866EA">
        <w:trPr>
          <w:trHeight w:val="300"/>
        </w:trPr>
        <w:tc>
          <w:tcPr>
            <w:tcW w:w="2082" w:type="dxa"/>
            <w:tcBorders>
              <w:top w:val="nil"/>
              <w:left w:val="nil"/>
              <w:bottom w:val="nil"/>
              <w:right w:val="nil"/>
            </w:tcBorders>
            <w:shd w:val="clear" w:color="auto" w:fill="auto"/>
            <w:noWrap/>
            <w:vAlign w:val="bottom"/>
            <w:hideMark/>
          </w:tcPr>
          <w:p w14:paraId="740BD1D4" w14:textId="77777777" w:rsidR="00237D87" w:rsidRPr="0021398F" w:rsidRDefault="00237D87" w:rsidP="00237D87">
            <w:pPr>
              <w:spacing w:after="0" w:line="240" w:lineRule="auto"/>
              <w:jc w:val="left"/>
              <w:rPr>
                <w:color w:val="000000"/>
              </w:rPr>
            </w:pPr>
            <w:r w:rsidRPr="0021398F">
              <w:rPr>
                <w:color w:val="000000"/>
              </w:rPr>
              <w:t>Colombia</w:t>
            </w:r>
          </w:p>
        </w:tc>
        <w:tc>
          <w:tcPr>
            <w:tcW w:w="1426" w:type="dxa"/>
            <w:tcBorders>
              <w:top w:val="nil"/>
              <w:left w:val="nil"/>
              <w:bottom w:val="nil"/>
              <w:right w:val="nil"/>
            </w:tcBorders>
            <w:shd w:val="clear" w:color="auto" w:fill="auto"/>
            <w:noWrap/>
            <w:vAlign w:val="bottom"/>
            <w:hideMark/>
          </w:tcPr>
          <w:p w14:paraId="047DBA8A" w14:textId="7BA7D68A" w:rsidR="00237D87" w:rsidRPr="00B071B7" w:rsidRDefault="00237D87" w:rsidP="00237D87">
            <w:pPr>
              <w:spacing w:after="0" w:line="240" w:lineRule="auto"/>
              <w:rPr>
                <w:color w:val="000000"/>
              </w:rPr>
            </w:pPr>
            <w:r>
              <w:rPr>
                <w:color w:val="000000"/>
              </w:rPr>
              <w:t>.86</w:t>
            </w:r>
          </w:p>
        </w:tc>
        <w:tc>
          <w:tcPr>
            <w:tcW w:w="1462" w:type="dxa"/>
            <w:tcBorders>
              <w:top w:val="nil"/>
              <w:left w:val="nil"/>
              <w:bottom w:val="nil"/>
              <w:right w:val="nil"/>
            </w:tcBorders>
            <w:shd w:val="clear" w:color="auto" w:fill="auto"/>
            <w:noWrap/>
            <w:vAlign w:val="bottom"/>
            <w:hideMark/>
          </w:tcPr>
          <w:p w14:paraId="6669F1CF" w14:textId="7F8F515A" w:rsidR="00237D87" w:rsidRPr="00B071B7" w:rsidRDefault="00237D87" w:rsidP="00237D87">
            <w:pPr>
              <w:spacing w:after="0" w:line="240" w:lineRule="auto"/>
              <w:rPr>
                <w:color w:val="000000"/>
              </w:rPr>
            </w:pPr>
            <w:r>
              <w:rPr>
                <w:color w:val="000000"/>
              </w:rPr>
              <w:t>.57</w:t>
            </w:r>
          </w:p>
        </w:tc>
        <w:tc>
          <w:tcPr>
            <w:tcW w:w="1559" w:type="dxa"/>
            <w:tcBorders>
              <w:top w:val="nil"/>
              <w:left w:val="nil"/>
              <w:bottom w:val="nil"/>
              <w:right w:val="nil"/>
            </w:tcBorders>
            <w:shd w:val="clear" w:color="auto" w:fill="auto"/>
            <w:noWrap/>
            <w:vAlign w:val="center"/>
            <w:hideMark/>
          </w:tcPr>
          <w:p w14:paraId="096E7C74" w14:textId="77777777" w:rsidR="00237D87" w:rsidRPr="00B071B7" w:rsidRDefault="00237D87" w:rsidP="00237D87">
            <w:pPr>
              <w:spacing w:after="0" w:line="240" w:lineRule="auto"/>
              <w:rPr>
                <w:color w:val="000000"/>
              </w:rPr>
            </w:pPr>
            <w:r w:rsidRPr="00B071B7">
              <w:rPr>
                <w:color w:val="000000"/>
              </w:rPr>
              <w:t>.67</w:t>
            </w:r>
          </w:p>
        </w:tc>
        <w:tc>
          <w:tcPr>
            <w:tcW w:w="1496" w:type="dxa"/>
            <w:tcBorders>
              <w:top w:val="nil"/>
              <w:left w:val="nil"/>
              <w:bottom w:val="nil"/>
              <w:right w:val="nil"/>
            </w:tcBorders>
            <w:shd w:val="clear" w:color="auto" w:fill="auto"/>
            <w:noWrap/>
            <w:vAlign w:val="bottom"/>
            <w:hideMark/>
          </w:tcPr>
          <w:p w14:paraId="6EA910FB" w14:textId="77777777" w:rsidR="00237D87" w:rsidRPr="00B071B7" w:rsidRDefault="00237D87" w:rsidP="00237D87">
            <w:pPr>
              <w:spacing w:after="0" w:line="240" w:lineRule="auto"/>
              <w:rPr>
                <w:color w:val="000000"/>
              </w:rPr>
            </w:pPr>
            <w:r w:rsidRPr="00B071B7">
              <w:rPr>
                <w:color w:val="000000"/>
              </w:rPr>
              <w:t>.50</w:t>
            </w:r>
          </w:p>
        </w:tc>
      </w:tr>
      <w:tr w:rsidR="00237D87" w:rsidRPr="00B071B7" w14:paraId="2497BC71" w14:textId="77777777" w:rsidTr="00F866EA">
        <w:trPr>
          <w:trHeight w:val="300"/>
        </w:trPr>
        <w:tc>
          <w:tcPr>
            <w:tcW w:w="2082" w:type="dxa"/>
            <w:tcBorders>
              <w:top w:val="nil"/>
              <w:left w:val="nil"/>
              <w:bottom w:val="nil"/>
              <w:right w:val="nil"/>
            </w:tcBorders>
            <w:shd w:val="clear" w:color="auto" w:fill="auto"/>
            <w:noWrap/>
            <w:vAlign w:val="bottom"/>
            <w:hideMark/>
          </w:tcPr>
          <w:p w14:paraId="2043C434" w14:textId="77777777" w:rsidR="00237D87" w:rsidRPr="0021398F" w:rsidRDefault="00237D87" w:rsidP="00237D87">
            <w:pPr>
              <w:spacing w:after="0" w:line="240" w:lineRule="auto"/>
              <w:jc w:val="left"/>
              <w:rPr>
                <w:color w:val="000000"/>
              </w:rPr>
            </w:pPr>
            <w:r w:rsidRPr="0021398F">
              <w:rPr>
                <w:color w:val="000000"/>
              </w:rPr>
              <w:t>Croatia</w:t>
            </w:r>
          </w:p>
        </w:tc>
        <w:tc>
          <w:tcPr>
            <w:tcW w:w="1426" w:type="dxa"/>
            <w:tcBorders>
              <w:top w:val="nil"/>
              <w:left w:val="nil"/>
              <w:bottom w:val="nil"/>
              <w:right w:val="nil"/>
            </w:tcBorders>
            <w:shd w:val="clear" w:color="auto" w:fill="auto"/>
            <w:noWrap/>
            <w:vAlign w:val="bottom"/>
            <w:hideMark/>
          </w:tcPr>
          <w:p w14:paraId="62CAC6AC" w14:textId="1D09525C" w:rsidR="00237D87" w:rsidRPr="00B071B7" w:rsidRDefault="00237D87" w:rsidP="00237D87">
            <w:pPr>
              <w:spacing w:after="0" w:line="240" w:lineRule="auto"/>
              <w:rPr>
                <w:color w:val="000000"/>
              </w:rPr>
            </w:pPr>
            <w:r>
              <w:rPr>
                <w:color w:val="000000"/>
              </w:rPr>
              <w:t>.84</w:t>
            </w:r>
          </w:p>
        </w:tc>
        <w:tc>
          <w:tcPr>
            <w:tcW w:w="1462" w:type="dxa"/>
            <w:tcBorders>
              <w:top w:val="nil"/>
              <w:left w:val="nil"/>
              <w:bottom w:val="nil"/>
              <w:right w:val="nil"/>
            </w:tcBorders>
            <w:shd w:val="clear" w:color="auto" w:fill="auto"/>
            <w:noWrap/>
            <w:vAlign w:val="bottom"/>
            <w:hideMark/>
          </w:tcPr>
          <w:p w14:paraId="18348EC7" w14:textId="45876560" w:rsidR="00237D87" w:rsidRPr="00B071B7" w:rsidRDefault="00237D87" w:rsidP="00237D87">
            <w:pPr>
              <w:spacing w:after="0" w:line="240" w:lineRule="auto"/>
              <w:rPr>
                <w:color w:val="000000"/>
              </w:rPr>
            </w:pPr>
            <w:r>
              <w:rPr>
                <w:color w:val="000000"/>
              </w:rPr>
              <w:t>.60</w:t>
            </w:r>
          </w:p>
        </w:tc>
        <w:tc>
          <w:tcPr>
            <w:tcW w:w="1559" w:type="dxa"/>
            <w:tcBorders>
              <w:top w:val="nil"/>
              <w:left w:val="nil"/>
              <w:bottom w:val="nil"/>
              <w:right w:val="nil"/>
            </w:tcBorders>
            <w:shd w:val="clear" w:color="auto" w:fill="auto"/>
            <w:noWrap/>
            <w:vAlign w:val="center"/>
            <w:hideMark/>
          </w:tcPr>
          <w:p w14:paraId="3356170D" w14:textId="77777777" w:rsidR="00237D87" w:rsidRPr="00B071B7" w:rsidRDefault="00237D87" w:rsidP="00237D87">
            <w:pPr>
              <w:spacing w:after="0" w:line="240" w:lineRule="auto"/>
              <w:rPr>
                <w:color w:val="000000"/>
              </w:rPr>
            </w:pPr>
            <w:r w:rsidRPr="00B071B7">
              <w:rPr>
                <w:color w:val="000000"/>
              </w:rPr>
              <w:t>.65</w:t>
            </w:r>
          </w:p>
        </w:tc>
        <w:tc>
          <w:tcPr>
            <w:tcW w:w="1496" w:type="dxa"/>
            <w:tcBorders>
              <w:top w:val="nil"/>
              <w:left w:val="nil"/>
              <w:bottom w:val="nil"/>
              <w:right w:val="nil"/>
            </w:tcBorders>
            <w:shd w:val="clear" w:color="auto" w:fill="auto"/>
            <w:noWrap/>
            <w:vAlign w:val="bottom"/>
            <w:hideMark/>
          </w:tcPr>
          <w:p w14:paraId="08BF0E64"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6240E60E" w14:textId="77777777" w:rsidTr="00F866EA">
        <w:trPr>
          <w:trHeight w:val="300"/>
        </w:trPr>
        <w:tc>
          <w:tcPr>
            <w:tcW w:w="2082" w:type="dxa"/>
            <w:tcBorders>
              <w:top w:val="nil"/>
              <w:left w:val="nil"/>
              <w:bottom w:val="nil"/>
              <w:right w:val="nil"/>
            </w:tcBorders>
            <w:shd w:val="clear" w:color="auto" w:fill="auto"/>
            <w:noWrap/>
            <w:vAlign w:val="bottom"/>
            <w:hideMark/>
          </w:tcPr>
          <w:p w14:paraId="6C24F1AC" w14:textId="77777777" w:rsidR="00237D87" w:rsidRPr="0021398F" w:rsidRDefault="00237D87" w:rsidP="00237D87">
            <w:pPr>
              <w:spacing w:after="0" w:line="240" w:lineRule="auto"/>
              <w:jc w:val="left"/>
              <w:rPr>
                <w:color w:val="000000"/>
              </w:rPr>
            </w:pPr>
            <w:r w:rsidRPr="0021398F">
              <w:rPr>
                <w:color w:val="000000"/>
              </w:rPr>
              <w:t>Czech Republic</w:t>
            </w:r>
          </w:p>
        </w:tc>
        <w:tc>
          <w:tcPr>
            <w:tcW w:w="1426" w:type="dxa"/>
            <w:tcBorders>
              <w:top w:val="nil"/>
              <w:left w:val="nil"/>
              <w:bottom w:val="nil"/>
              <w:right w:val="nil"/>
            </w:tcBorders>
            <w:shd w:val="clear" w:color="auto" w:fill="auto"/>
            <w:noWrap/>
            <w:vAlign w:val="bottom"/>
            <w:hideMark/>
          </w:tcPr>
          <w:p w14:paraId="60583D48" w14:textId="3D6AFEBA"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3433DF47" w14:textId="681368CC" w:rsidR="00237D87" w:rsidRPr="00B071B7" w:rsidRDefault="00237D87" w:rsidP="00237D87">
            <w:pPr>
              <w:spacing w:after="0" w:line="240" w:lineRule="auto"/>
              <w:rPr>
                <w:color w:val="000000"/>
              </w:rPr>
            </w:pPr>
            <w:r>
              <w:rPr>
                <w:color w:val="000000"/>
              </w:rPr>
              <w:t>.52</w:t>
            </w:r>
          </w:p>
        </w:tc>
        <w:tc>
          <w:tcPr>
            <w:tcW w:w="1559" w:type="dxa"/>
            <w:tcBorders>
              <w:top w:val="nil"/>
              <w:left w:val="nil"/>
              <w:bottom w:val="nil"/>
              <w:right w:val="nil"/>
            </w:tcBorders>
            <w:shd w:val="clear" w:color="auto" w:fill="auto"/>
            <w:noWrap/>
            <w:vAlign w:val="center"/>
            <w:hideMark/>
          </w:tcPr>
          <w:p w14:paraId="450984C1" w14:textId="77777777" w:rsidR="00237D87" w:rsidRPr="00B071B7" w:rsidRDefault="00237D87" w:rsidP="00237D87">
            <w:pPr>
              <w:spacing w:after="0" w:line="240" w:lineRule="auto"/>
              <w:rPr>
                <w:color w:val="000000"/>
              </w:rPr>
            </w:pPr>
            <w:r w:rsidRPr="00B071B7">
              <w:rPr>
                <w:color w:val="000000"/>
              </w:rPr>
              <w:t>.57</w:t>
            </w:r>
          </w:p>
        </w:tc>
        <w:tc>
          <w:tcPr>
            <w:tcW w:w="1496" w:type="dxa"/>
            <w:tcBorders>
              <w:top w:val="nil"/>
              <w:left w:val="nil"/>
              <w:bottom w:val="nil"/>
              <w:right w:val="nil"/>
            </w:tcBorders>
            <w:shd w:val="clear" w:color="auto" w:fill="auto"/>
            <w:noWrap/>
            <w:vAlign w:val="bottom"/>
            <w:hideMark/>
          </w:tcPr>
          <w:p w14:paraId="1936B16A"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766D59AA" w14:textId="77777777" w:rsidTr="00F866EA">
        <w:trPr>
          <w:trHeight w:val="300"/>
        </w:trPr>
        <w:tc>
          <w:tcPr>
            <w:tcW w:w="2082" w:type="dxa"/>
            <w:tcBorders>
              <w:top w:val="nil"/>
              <w:left w:val="nil"/>
              <w:bottom w:val="nil"/>
              <w:right w:val="nil"/>
            </w:tcBorders>
            <w:shd w:val="clear" w:color="auto" w:fill="auto"/>
            <w:noWrap/>
            <w:vAlign w:val="bottom"/>
            <w:hideMark/>
          </w:tcPr>
          <w:p w14:paraId="6EC689EA" w14:textId="77777777" w:rsidR="00237D87" w:rsidRPr="0021398F" w:rsidRDefault="00237D87" w:rsidP="00237D87">
            <w:pPr>
              <w:spacing w:after="0" w:line="240" w:lineRule="auto"/>
              <w:jc w:val="left"/>
              <w:rPr>
                <w:color w:val="000000"/>
              </w:rPr>
            </w:pPr>
            <w:r w:rsidRPr="0021398F">
              <w:rPr>
                <w:color w:val="000000"/>
              </w:rPr>
              <w:t>Denmark</w:t>
            </w:r>
          </w:p>
        </w:tc>
        <w:tc>
          <w:tcPr>
            <w:tcW w:w="1426" w:type="dxa"/>
            <w:tcBorders>
              <w:top w:val="nil"/>
              <w:left w:val="nil"/>
              <w:bottom w:val="nil"/>
              <w:right w:val="nil"/>
            </w:tcBorders>
            <w:shd w:val="clear" w:color="auto" w:fill="auto"/>
            <w:noWrap/>
            <w:vAlign w:val="bottom"/>
            <w:hideMark/>
          </w:tcPr>
          <w:p w14:paraId="51A5C640" w14:textId="3E272255"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5FB362FC" w14:textId="0F3F7E8E" w:rsidR="00237D87" w:rsidRPr="00B071B7" w:rsidRDefault="00237D87" w:rsidP="00237D87">
            <w:pPr>
              <w:spacing w:after="0" w:line="240" w:lineRule="auto"/>
              <w:rPr>
                <w:color w:val="000000"/>
              </w:rPr>
            </w:pPr>
            <w:r>
              <w:rPr>
                <w:color w:val="000000"/>
              </w:rPr>
              <w:t>.61</w:t>
            </w:r>
          </w:p>
        </w:tc>
        <w:tc>
          <w:tcPr>
            <w:tcW w:w="1559" w:type="dxa"/>
            <w:tcBorders>
              <w:top w:val="nil"/>
              <w:left w:val="nil"/>
              <w:bottom w:val="nil"/>
              <w:right w:val="nil"/>
            </w:tcBorders>
            <w:shd w:val="clear" w:color="auto" w:fill="auto"/>
            <w:noWrap/>
            <w:vAlign w:val="center"/>
            <w:hideMark/>
          </w:tcPr>
          <w:p w14:paraId="7FE9404C" w14:textId="77777777" w:rsidR="00237D87" w:rsidRPr="00B071B7" w:rsidRDefault="00237D87" w:rsidP="00237D87">
            <w:pPr>
              <w:spacing w:after="0" w:line="240" w:lineRule="auto"/>
              <w:rPr>
                <w:color w:val="000000"/>
              </w:rPr>
            </w:pPr>
            <w:r w:rsidRPr="00B071B7">
              <w:rPr>
                <w:color w:val="000000"/>
              </w:rPr>
              <w:t>.65</w:t>
            </w:r>
          </w:p>
        </w:tc>
        <w:tc>
          <w:tcPr>
            <w:tcW w:w="1496" w:type="dxa"/>
            <w:tcBorders>
              <w:top w:val="nil"/>
              <w:left w:val="nil"/>
              <w:bottom w:val="nil"/>
              <w:right w:val="nil"/>
            </w:tcBorders>
            <w:shd w:val="clear" w:color="auto" w:fill="auto"/>
            <w:noWrap/>
            <w:vAlign w:val="bottom"/>
            <w:hideMark/>
          </w:tcPr>
          <w:p w14:paraId="3254B340" w14:textId="77777777" w:rsidR="00237D87" w:rsidRPr="00B071B7" w:rsidRDefault="00237D87" w:rsidP="00237D87">
            <w:pPr>
              <w:spacing w:after="0" w:line="240" w:lineRule="auto"/>
              <w:rPr>
                <w:color w:val="000000"/>
              </w:rPr>
            </w:pPr>
            <w:r w:rsidRPr="00B071B7">
              <w:rPr>
                <w:color w:val="000000"/>
              </w:rPr>
              <w:t>.49</w:t>
            </w:r>
          </w:p>
        </w:tc>
      </w:tr>
      <w:tr w:rsidR="00237D87" w:rsidRPr="00B071B7" w14:paraId="3320C170" w14:textId="77777777" w:rsidTr="00F866EA">
        <w:trPr>
          <w:trHeight w:val="300"/>
        </w:trPr>
        <w:tc>
          <w:tcPr>
            <w:tcW w:w="2082" w:type="dxa"/>
            <w:tcBorders>
              <w:top w:val="nil"/>
              <w:left w:val="nil"/>
              <w:bottom w:val="nil"/>
              <w:right w:val="nil"/>
            </w:tcBorders>
            <w:shd w:val="clear" w:color="auto" w:fill="auto"/>
            <w:noWrap/>
            <w:vAlign w:val="bottom"/>
            <w:hideMark/>
          </w:tcPr>
          <w:p w14:paraId="5C15D088" w14:textId="77777777" w:rsidR="00237D87" w:rsidRPr="0021398F" w:rsidRDefault="00237D87" w:rsidP="00237D87">
            <w:pPr>
              <w:spacing w:after="0" w:line="240" w:lineRule="auto"/>
              <w:jc w:val="left"/>
              <w:rPr>
                <w:color w:val="000000"/>
              </w:rPr>
            </w:pPr>
            <w:r w:rsidRPr="0021398F">
              <w:rPr>
                <w:color w:val="000000"/>
              </w:rPr>
              <w:t>Estonia</w:t>
            </w:r>
          </w:p>
        </w:tc>
        <w:tc>
          <w:tcPr>
            <w:tcW w:w="1426" w:type="dxa"/>
            <w:tcBorders>
              <w:top w:val="nil"/>
              <w:left w:val="nil"/>
              <w:bottom w:val="nil"/>
              <w:right w:val="nil"/>
            </w:tcBorders>
            <w:shd w:val="clear" w:color="auto" w:fill="auto"/>
            <w:noWrap/>
            <w:vAlign w:val="bottom"/>
            <w:hideMark/>
          </w:tcPr>
          <w:p w14:paraId="4BEDE253" w14:textId="4E4C575C"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001059BB" w14:textId="5E77BE3D" w:rsidR="00237D87" w:rsidRPr="00B071B7" w:rsidRDefault="00237D87" w:rsidP="00237D87">
            <w:pPr>
              <w:spacing w:after="0" w:line="240" w:lineRule="auto"/>
              <w:rPr>
                <w:color w:val="000000"/>
              </w:rPr>
            </w:pPr>
            <w:r>
              <w:rPr>
                <w:color w:val="000000"/>
              </w:rPr>
              <w:t>.58</w:t>
            </w:r>
          </w:p>
        </w:tc>
        <w:tc>
          <w:tcPr>
            <w:tcW w:w="1559" w:type="dxa"/>
            <w:tcBorders>
              <w:top w:val="nil"/>
              <w:left w:val="nil"/>
              <w:bottom w:val="nil"/>
              <w:right w:val="nil"/>
            </w:tcBorders>
            <w:shd w:val="clear" w:color="auto" w:fill="auto"/>
            <w:noWrap/>
            <w:vAlign w:val="center"/>
            <w:hideMark/>
          </w:tcPr>
          <w:p w14:paraId="0E4F0AAB" w14:textId="77777777" w:rsidR="00237D87" w:rsidRPr="00B071B7" w:rsidRDefault="00237D87" w:rsidP="00237D87">
            <w:pPr>
              <w:spacing w:after="0" w:line="240" w:lineRule="auto"/>
              <w:rPr>
                <w:color w:val="000000"/>
              </w:rPr>
            </w:pPr>
            <w:r w:rsidRPr="00B071B7">
              <w:rPr>
                <w:color w:val="000000"/>
              </w:rPr>
              <w:t>.65</w:t>
            </w:r>
          </w:p>
        </w:tc>
        <w:tc>
          <w:tcPr>
            <w:tcW w:w="1496" w:type="dxa"/>
            <w:tcBorders>
              <w:top w:val="nil"/>
              <w:left w:val="nil"/>
              <w:bottom w:val="nil"/>
              <w:right w:val="nil"/>
            </w:tcBorders>
            <w:shd w:val="clear" w:color="auto" w:fill="auto"/>
            <w:noWrap/>
            <w:vAlign w:val="bottom"/>
            <w:hideMark/>
          </w:tcPr>
          <w:p w14:paraId="0958EA4A"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772800BE" w14:textId="77777777" w:rsidTr="00F866EA">
        <w:trPr>
          <w:trHeight w:val="300"/>
        </w:trPr>
        <w:tc>
          <w:tcPr>
            <w:tcW w:w="2082" w:type="dxa"/>
            <w:tcBorders>
              <w:top w:val="nil"/>
              <w:left w:val="nil"/>
              <w:bottom w:val="nil"/>
              <w:right w:val="nil"/>
            </w:tcBorders>
            <w:shd w:val="clear" w:color="auto" w:fill="auto"/>
            <w:noWrap/>
            <w:vAlign w:val="bottom"/>
            <w:hideMark/>
          </w:tcPr>
          <w:p w14:paraId="0AA9C1F2" w14:textId="77777777" w:rsidR="00237D87" w:rsidRPr="0021398F" w:rsidRDefault="00237D87" w:rsidP="00237D87">
            <w:pPr>
              <w:spacing w:after="0" w:line="240" w:lineRule="auto"/>
              <w:jc w:val="left"/>
              <w:rPr>
                <w:color w:val="000000"/>
              </w:rPr>
            </w:pPr>
            <w:r w:rsidRPr="0021398F">
              <w:rPr>
                <w:color w:val="000000"/>
              </w:rPr>
              <w:t>France</w:t>
            </w:r>
          </w:p>
        </w:tc>
        <w:tc>
          <w:tcPr>
            <w:tcW w:w="1426" w:type="dxa"/>
            <w:tcBorders>
              <w:top w:val="nil"/>
              <w:left w:val="nil"/>
              <w:bottom w:val="nil"/>
              <w:right w:val="nil"/>
            </w:tcBorders>
            <w:shd w:val="clear" w:color="auto" w:fill="auto"/>
            <w:noWrap/>
            <w:vAlign w:val="bottom"/>
            <w:hideMark/>
          </w:tcPr>
          <w:p w14:paraId="2D822387" w14:textId="2926CABC" w:rsidR="00237D87" w:rsidRPr="00B071B7" w:rsidRDefault="00237D87" w:rsidP="00237D87">
            <w:pPr>
              <w:spacing w:after="0" w:line="240" w:lineRule="auto"/>
              <w:rPr>
                <w:color w:val="000000"/>
              </w:rPr>
            </w:pPr>
            <w:r>
              <w:rPr>
                <w:color w:val="000000"/>
              </w:rPr>
              <w:t>.83</w:t>
            </w:r>
          </w:p>
        </w:tc>
        <w:tc>
          <w:tcPr>
            <w:tcW w:w="1462" w:type="dxa"/>
            <w:tcBorders>
              <w:top w:val="nil"/>
              <w:left w:val="nil"/>
              <w:bottom w:val="nil"/>
              <w:right w:val="nil"/>
            </w:tcBorders>
            <w:shd w:val="clear" w:color="auto" w:fill="auto"/>
            <w:noWrap/>
            <w:vAlign w:val="bottom"/>
            <w:hideMark/>
          </w:tcPr>
          <w:p w14:paraId="7499B7E0" w14:textId="0DF963CB" w:rsidR="00237D87" w:rsidRPr="00B071B7" w:rsidRDefault="00237D87" w:rsidP="00237D87">
            <w:pPr>
              <w:spacing w:after="0" w:line="240" w:lineRule="auto"/>
              <w:rPr>
                <w:color w:val="000000"/>
              </w:rPr>
            </w:pPr>
            <w:r>
              <w:rPr>
                <w:color w:val="000000"/>
              </w:rPr>
              <w:t>.51</w:t>
            </w:r>
          </w:p>
        </w:tc>
        <w:tc>
          <w:tcPr>
            <w:tcW w:w="1559" w:type="dxa"/>
            <w:tcBorders>
              <w:top w:val="nil"/>
              <w:left w:val="nil"/>
              <w:bottom w:val="nil"/>
              <w:right w:val="nil"/>
            </w:tcBorders>
            <w:shd w:val="clear" w:color="auto" w:fill="auto"/>
            <w:noWrap/>
            <w:vAlign w:val="center"/>
            <w:hideMark/>
          </w:tcPr>
          <w:p w14:paraId="482FF14E" w14:textId="77777777" w:rsidR="00237D87" w:rsidRPr="00B071B7" w:rsidRDefault="00237D87" w:rsidP="00237D87">
            <w:pPr>
              <w:spacing w:after="0" w:line="240" w:lineRule="auto"/>
              <w:rPr>
                <w:color w:val="000000"/>
              </w:rPr>
            </w:pPr>
            <w:r w:rsidRPr="00B071B7">
              <w:rPr>
                <w:color w:val="000000"/>
              </w:rPr>
              <w:t>.57</w:t>
            </w:r>
          </w:p>
        </w:tc>
        <w:tc>
          <w:tcPr>
            <w:tcW w:w="1496" w:type="dxa"/>
            <w:tcBorders>
              <w:top w:val="nil"/>
              <w:left w:val="nil"/>
              <w:bottom w:val="nil"/>
              <w:right w:val="nil"/>
            </w:tcBorders>
            <w:shd w:val="clear" w:color="auto" w:fill="auto"/>
            <w:noWrap/>
            <w:vAlign w:val="bottom"/>
            <w:hideMark/>
          </w:tcPr>
          <w:p w14:paraId="72490A96" w14:textId="77777777" w:rsidR="00237D87" w:rsidRPr="00B071B7" w:rsidRDefault="00237D87" w:rsidP="00237D87">
            <w:pPr>
              <w:spacing w:after="0" w:line="240" w:lineRule="auto"/>
              <w:rPr>
                <w:color w:val="000000"/>
              </w:rPr>
            </w:pPr>
            <w:r w:rsidRPr="00B071B7">
              <w:rPr>
                <w:color w:val="000000"/>
              </w:rPr>
              <w:t>.49</w:t>
            </w:r>
          </w:p>
        </w:tc>
      </w:tr>
      <w:tr w:rsidR="00237D87" w:rsidRPr="00B071B7" w14:paraId="68B9D932" w14:textId="77777777" w:rsidTr="00F866EA">
        <w:trPr>
          <w:trHeight w:val="300"/>
        </w:trPr>
        <w:tc>
          <w:tcPr>
            <w:tcW w:w="2082" w:type="dxa"/>
            <w:tcBorders>
              <w:top w:val="nil"/>
              <w:left w:val="nil"/>
              <w:bottom w:val="nil"/>
              <w:right w:val="nil"/>
            </w:tcBorders>
            <w:shd w:val="clear" w:color="auto" w:fill="auto"/>
            <w:noWrap/>
            <w:vAlign w:val="bottom"/>
            <w:hideMark/>
          </w:tcPr>
          <w:p w14:paraId="54B17AB9" w14:textId="77777777" w:rsidR="00237D87" w:rsidRPr="0021398F" w:rsidRDefault="00237D87" w:rsidP="00237D87">
            <w:pPr>
              <w:spacing w:after="0" w:line="240" w:lineRule="auto"/>
              <w:jc w:val="left"/>
              <w:rPr>
                <w:color w:val="000000"/>
              </w:rPr>
            </w:pPr>
            <w:r w:rsidRPr="0021398F">
              <w:rPr>
                <w:color w:val="000000"/>
              </w:rPr>
              <w:t>Georgia</w:t>
            </w:r>
          </w:p>
        </w:tc>
        <w:tc>
          <w:tcPr>
            <w:tcW w:w="1426" w:type="dxa"/>
            <w:tcBorders>
              <w:top w:val="nil"/>
              <w:left w:val="nil"/>
              <w:bottom w:val="nil"/>
              <w:right w:val="nil"/>
            </w:tcBorders>
            <w:shd w:val="clear" w:color="auto" w:fill="auto"/>
            <w:noWrap/>
            <w:vAlign w:val="bottom"/>
            <w:hideMark/>
          </w:tcPr>
          <w:p w14:paraId="37BDF53B" w14:textId="36742F68" w:rsidR="00237D87" w:rsidRPr="00B071B7" w:rsidRDefault="00237D87" w:rsidP="00237D87">
            <w:pPr>
              <w:spacing w:after="0" w:line="240" w:lineRule="auto"/>
              <w:rPr>
                <w:color w:val="000000"/>
              </w:rPr>
            </w:pPr>
            <w:r>
              <w:rPr>
                <w:color w:val="000000"/>
              </w:rPr>
              <w:t>.83</w:t>
            </w:r>
          </w:p>
        </w:tc>
        <w:tc>
          <w:tcPr>
            <w:tcW w:w="1462" w:type="dxa"/>
            <w:tcBorders>
              <w:top w:val="nil"/>
              <w:left w:val="nil"/>
              <w:bottom w:val="nil"/>
              <w:right w:val="nil"/>
            </w:tcBorders>
            <w:shd w:val="clear" w:color="auto" w:fill="auto"/>
            <w:noWrap/>
            <w:vAlign w:val="bottom"/>
            <w:hideMark/>
          </w:tcPr>
          <w:p w14:paraId="0D75B31A" w14:textId="535964B9" w:rsidR="00237D87" w:rsidRPr="00B071B7" w:rsidRDefault="00237D87" w:rsidP="00237D87">
            <w:pPr>
              <w:spacing w:after="0" w:line="240" w:lineRule="auto"/>
              <w:rPr>
                <w:color w:val="000000"/>
              </w:rPr>
            </w:pPr>
            <w:r>
              <w:rPr>
                <w:color w:val="000000"/>
              </w:rPr>
              <w:t>.55</w:t>
            </w:r>
          </w:p>
        </w:tc>
        <w:tc>
          <w:tcPr>
            <w:tcW w:w="1559" w:type="dxa"/>
            <w:tcBorders>
              <w:top w:val="nil"/>
              <w:left w:val="nil"/>
              <w:bottom w:val="nil"/>
              <w:right w:val="nil"/>
            </w:tcBorders>
            <w:shd w:val="clear" w:color="auto" w:fill="auto"/>
            <w:noWrap/>
            <w:vAlign w:val="center"/>
            <w:hideMark/>
          </w:tcPr>
          <w:p w14:paraId="776497AD" w14:textId="77777777" w:rsidR="00237D87" w:rsidRPr="00B071B7" w:rsidRDefault="00237D87" w:rsidP="00237D87">
            <w:pPr>
              <w:spacing w:after="0" w:line="240" w:lineRule="auto"/>
              <w:rPr>
                <w:color w:val="000000"/>
              </w:rPr>
            </w:pPr>
            <w:r w:rsidRPr="00B071B7">
              <w:rPr>
                <w:color w:val="000000"/>
              </w:rPr>
              <w:t>.62</w:t>
            </w:r>
          </w:p>
        </w:tc>
        <w:tc>
          <w:tcPr>
            <w:tcW w:w="1496" w:type="dxa"/>
            <w:tcBorders>
              <w:top w:val="nil"/>
              <w:left w:val="nil"/>
              <w:bottom w:val="nil"/>
              <w:right w:val="nil"/>
            </w:tcBorders>
            <w:shd w:val="clear" w:color="auto" w:fill="auto"/>
            <w:noWrap/>
            <w:vAlign w:val="bottom"/>
            <w:hideMark/>
          </w:tcPr>
          <w:p w14:paraId="691BC0A1"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2063BA16" w14:textId="77777777" w:rsidTr="00F866EA">
        <w:trPr>
          <w:trHeight w:val="300"/>
        </w:trPr>
        <w:tc>
          <w:tcPr>
            <w:tcW w:w="2082" w:type="dxa"/>
            <w:tcBorders>
              <w:top w:val="nil"/>
              <w:left w:val="nil"/>
              <w:bottom w:val="nil"/>
              <w:right w:val="nil"/>
            </w:tcBorders>
            <w:shd w:val="clear" w:color="auto" w:fill="auto"/>
            <w:noWrap/>
            <w:vAlign w:val="bottom"/>
            <w:hideMark/>
          </w:tcPr>
          <w:p w14:paraId="3CCE44E8" w14:textId="77777777" w:rsidR="00237D87" w:rsidRPr="0021398F" w:rsidRDefault="00237D87" w:rsidP="00237D87">
            <w:pPr>
              <w:spacing w:after="0" w:line="240" w:lineRule="auto"/>
              <w:jc w:val="left"/>
              <w:rPr>
                <w:color w:val="000000"/>
              </w:rPr>
            </w:pPr>
            <w:r w:rsidRPr="0021398F">
              <w:rPr>
                <w:color w:val="000000"/>
              </w:rPr>
              <w:t>Germany</w:t>
            </w:r>
          </w:p>
        </w:tc>
        <w:tc>
          <w:tcPr>
            <w:tcW w:w="1426" w:type="dxa"/>
            <w:tcBorders>
              <w:top w:val="nil"/>
              <w:left w:val="nil"/>
              <w:bottom w:val="nil"/>
              <w:right w:val="nil"/>
            </w:tcBorders>
            <w:shd w:val="clear" w:color="auto" w:fill="auto"/>
            <w:noWrap/>
            <w:vAlign w:val="bottom"/>
            <w:hideMark/>
          </w:tcPr>
          <w:p w14:paraId="503647C8" w14:textId="467FD831"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4D6C92C8" w14:textId="0DFA227F" w:rsidR="00237D87" w:rsidRPr="00B071B7" w:rsidRDefault="00237D87" w:rsidP="00237D87">
            <w:pPr>
              <w:spacing w:after="0" w:line="240" w:lineRule="auto"/>
              <w:rPr>
                <w:color w:val="000000"/>
              </w:rPr>
            </w:pPr>
            <w:r>
              <w:rPr>
                <w:color w:val="000000"/>
              </w:rPr>
              <w:t>.60</w:t>
            </w:r>
          </w:p>
        </w:tc>
        <w:tc>
          <w:tcPr>
            <w:tcW w:w="1559" w:type="dxa"/>
            <w:tcBorders>
              <w:top w:val="nil"/>
              <w:left w:val="nil"/>
              <w:bottom w:val="nil"/>
              <w:right w:val="nil"/>
            </w:tcBorders>
            <w:shd w:val="clear" w:color="auto" w:fill="auto"/>
            <w:noWrap/>
            <w:vAlign w:val="center"/>
            <w:hideMark/>
          </w:tcPr>
          <w:p w14:paraId="5947D54D" w14:textId="77777777" w:rsidR="00237D87" w:rsidRPr="00B071B7" w:rsidRDefault="00237D87" w:rsidP="00237D87">
            <w:pPr>
              <w:spacing w:after="0" w:line="240" w:lineRule="auto"/>
              <w:rPr>
                <w:color w:val="000000"/>
              </w:rPr>
            </w:pPr>
            <w:r w:rsidRPr="00B071B7">
              <w:rPr>
                <w:color w:val="000000"/>
              </w:rPr>
              <w:t>.66</w:t>
            </w:r>
          </w:p>
        </w:tc>
        <w:tc>
          <w:tcPr>
            <w:tcW w:w="1496" w:type="dxa"/>
            <w:tcBorders>
              <w:top w:val="nil"/>
              <w:left w:val="nil"/>
              <w:bottom w:val="nil"/>
              <w:right w:val="nil"/>
            </w:tcBorders>
            <w:shd w:val="clear" w:color="auto" w:fill="auto"/>
            <w:noWrap/>
            <w:vAlign w:val="bottom"/>
            <w:hideMark/>
          </w:tcPr>
          <w:p w14:paraId="33CED23A" w14:textId="77777777" w:rsidR="00237D87" w:rsidRPr="00B071B7" w:rsidRDefault="00237D87" w:rsidP="00237D87">
            <w:pPr>
              <w:spacing w:after="0" w:line="240" w:lineRule="auto"/>
              <w:rPr>
                <w:color w:val="000000"/>
              </w:rPr>
            </w:pPr>
            <w:r w:rsidRPr="00B071B7">
              <w:rPr>
                <w:color w:val="000000"/>
              </w:rPr>
              <w:t>.43</w:t>
            </w:r>
          </w:p>
        </w:tc>
      </w:tr>
      <w:tr w:rsidR="00237D87" w:rsidRPr="00B071B7" w14:paraId="1C986BB5" w14:textId="77777777" w:rsidTr="00F866EA">
        <w:trPr>
          <w:trHeight w:val="300"/>
        </w:trPr>
        <w:tc>
          <w:tcPr>
            <w:tcW w:w="2082" w:type="dxa"/>
            <w:tcBorders>
              <w:top w:val="nil"/>
              <w:left w:val="nil"/>
              <w:bottom w:val="nil"/>
              <w:right w:val="nil"/>
            </w:tcBorders>
            <w:shd w:val="clear" w:color="auto" w:fill="auto"/>
            <w:noWrap/>
            <w:vAlign w:val="bottom"/>
            <w:hideMark/>
          </w:tcPr>
          <w:p w14:paraId="2CE6AE9E" w14:textId="77777777" w:rsidR="00237D87" w:rsidRPr="0021398F" w:rsidRDefault="00237D87" w:rsidP="00237D87">
            <w:pPr>
              <w:spacing w:after="0" w:line="240" w:lineRule="auto"/>
              <w:jc w:val="left"/>
              <w:rPr>
                <w:color w:val="000000"/>
              </w:rPr>
            </w:pPr>
            <w:r w:rsidRPr="0021398F">
              <w:rPr>
                <w:color w:val="000000"/>
              </w:rPr>
              <w:t>Greece</w:t>
            </w:r>
          </w:p>
        </w:tc>
        <w:tc>
          <w:tcPr>
            <w:tcW w:w="1426" w:type="dxa"/>
            <w:tcBorders>
              <w:top w:val="nil"/>
              <w:left w:val="nil"/>
              <w:bottom w:val="nil"/>
              <w:right w:val="nil"/>
            </w:tcBorders>
            <w:shd w:val="clear" w:color="auto" w:fill="auto"/>
            <w:noWrap/>
            <w:vAlign w:val="bottom"/>
            <w:hideMark/>
          </w:tcPr>
          <w:p w14:paraId="28C5A7F6" w14:textId="55718C0F" w:rsidR="00237D87" w:rsidRPr="00B071B7" w:rsidRDefault="00237D87" w:rsidP="00237D87">
            <w:pPr>
              <w:spacing w:after="0" w:line="240" w:lineRule="auto"/>
              <w:rPr>
                <w:color w:val="000000"/>
              </w:rPr>
            </w:pPr>
            <w:r>
              <w:rPr>
                <w:color w:val="000000"/>
              </w:rPr>
              <w:t>.81</w:t>
            </w:r>
          </w:p>
        </w:tc>
        <w:tc>
          <w:tcPr>
            <w:tcW w:w="1462" w:type="dxa"/>
            <w:tcBorders>
              <w:top w:val="nil"/>
              <w:left w:val="nil"/>
              <w:bottom w:val="nil"/>
              <w:right w:val="nil"/>
            </w:tcBorders>
            <w:shd w:val="clear" w:color="auto" w:fill="auto"/>
            <w:noWrap/>
            <w:vAlign w:val="bottom"/>
            <w:hideMark/>
          </w:tcPr>
          <w:p w14:paraId="41C94390" w14:textId="2DC97B43" w:rsidR="00237D87" w:rsidRPr="00B071B7" w:rsidRDefault="00237D87" w:rsidP="00237D87">
            <w:pPr>
              <w:spacing w:after="0" w:line="240" w:lineRule="auto"/>
              <w:rPr>
                <w:color w:val="000000"/>
              </w:rPr>
            </w:pPr>
            <w:r>
              <w:rPr>
                <w:color w:val="000000"/>
              </w:rPr>
              <w:t>.44</w:t>
            </w:r>
          </w:p>
        </w:tc>
        <w:tc>
          <w:tcPr>
            <w:tcW w:w="1559" w:type="dxa"/>
            <w:tcBorders>
              <w:top w:val="nil"/>
              <w:left w:val="nil"/>
              <w:bottom w:val="nil"/>
              <w:right w:val="nil"/>
            </w:tcBorders>
            <w:shd w:val="clear" w:color="auto" w:fill="auto"/>
            <w:noWrap/>
            <w:vAlign w:val="center"/>
            <w:hideMark/>
          </w:tcPr>
          <w:p w14:paraId="6131B1D1" w14:textId="77777777" w:rsidR="00237D87" w:rsidRPr="00B071B7" w:rsidRDefault="00237D87" w:rsidP="00237D87">
            <w:pPr>
              <w:spacing w:after="0" w:line="240" w:lineRule="auto"/>
              <w:rPr>
                <w:color w:val="000000"/>
              </w:rPr>
            </w:pPr>
            <w:r w:rsidRPr="00B071B7">
              <w:rPr>
                <w:color w:val="000000"/>
              </w:rPr>
              <w:t>.56</w:t>
            </w:r>
          </w:p>
        </w:tc>
        <w:tc>
          <w:tcPr>
            <w:tcW w:w="1496" w:type="dxa"/>
            <w:tcBorders>
              <w:top w:val="nil"/>
              <w:left w:val="nil"/>
              <w:bottom w:val="nil"/>
              <w:right w:val="nil"/>
            </w:tcBorders>
            <w:shd w:val="clear" w:color="auto" w:fill="auto"/>
            <w:noWrap/>
            <w:vAlign w:val="bottom"/>
            <w:hideMark/>
          </w:tcPr>
          <w:p w14:paraId="4A7F9C35" w14:textId="77777777" w:rsidR="00237D87" w:rsidRPr="00B071B7" w:rsidRDefault="00237D87" w:rsidP="00237D87">
            <w:pPr>
              <w:spacing w:after="0" w:line="240" w:lineRule="auto"/>
              <w:rPr>
                <w:color w:val="000000"/>
              </w:rPr>
            </w:pPr>
            <w:r w:rsidRPr="00B071B7">
              <w:rPr>
                <w:color w:val="000000"/>
              </w:rPr>
              <w:t>.42</w:t>
            </w:r>
          </w:p>
        </w:tc>
      </w:tr>
      <w:tr w:rsidR="00237D87" w:rsidRPr="00B071B7" w14:paraId="42A0121D" w14:textId="77777777" w:rsidTr="00F866EA">
        <w:trPr>
          <w:trHeight w:val="300"/>
        </w:trPr>
        <w:tc>
          <w:tcPr>
            <w:tcW w:w="2082" w:type="dxa"/>
            <w:tcBorders>
              <w:top w:val="nil"/>
              <w:left w:val="nil"/>
              <w:bottom w:val="nil"/>
              <w:right w:val="nil"/>
            </w:tcBorders>
            <w:shd w:val="clear" w:color="auto" w:fill="auto"/>
            <w:noWrap/>
            <w:vAlign w:val="bottom"/>
            <w:hideMark/>
          </w:tcPr>
          <w:p w14:paraId="1E68B90D" w14:textId="77777777" w:rsidR="00237D87" w:rsidRPr="0021398F" w:rsidRDefault="00237D87" w:rsidP="00237D87">
            <w:pPr>
              <w:spacing w:after="0" w:line="240" w:lineRule="auto"/>
              <w:jc w:val="left"/>
              <w:rPr>
                <w:color w:val="000000"/>
              </w:rPr>
            </w:pPr>
            <w:r w:rsidRPr="0021398F">
              <w:rPr>
                <w:color w:val="000000"/>
              </w:rPr>
              <w:t>Hong Kong</w:t>
            </w:r>
          </w:p>
        </w:tc>
        <w:tc>
          <w:tcPr>
            <w:tcW w:w="1426" w:type="dxa"/>
            <w:tcBorders>
              <w:top w:val="nil"/>
              <w:left w:val="nil"/>
              <w:bottom w:val="nil"/>
              <w:right w:val="nil"/>
            </w:tcBorders>
            <w:shd w:val="clear" w:color="auto" w:fill="auto"/>
            <w:noWrap/>
            <w:vAlign w:val="bottom"/>
            <w:hideMark/>
          </w:tcPr>
          <w:p w14:paraId="328FE757" w14:textId="0EA148F8" w:rsidR="00237D87" w:rsidRPr="00B071B7" w:rsidRDefault="00237D87" w:rsidP="00237D87">
            <w:pPr>
              <w:spacing w:after="0" w:line="240" w:lineRule="auto"/>
              <w:rPr>
                <w:color w:val="000000"/>
              </w:rPr>
            </w:pPr>
            <w:r>
              <w:rPr>
                <w:color w:val="000000"/>
              </w:rPr>
              <w:t>.88</w:t>
            </w:r>
          </w:p>
        </w:tc>
        <w:tc>
          <w:tcPr>
            <w:tcW w:w="1462" w:type="dxa"/>
            <w:tcBorders>
              <w:top w:val="nil"/>
              <w:left w:val="nil"/>
              <w:bottom w:val="nil"/>
              <w:right w:val="nil"/>
            </w:tcBorders>
            <w:shd w:val="clear" w:color="auto" w:fill="auto"/>
            <w:noWrap/>
            <w:vAlign w:val="bottom"/>
            <w:hideMark/>
          </w:tcPr>
          <w:p w14:paraId="55AAB03F" w14:textId="4C158D3C" w:rsidR="00237D87" w:rsidRPr="00B071B7" w:rsidRDefault="00237D87" w:rsidP="00237D87">
            <w:pPr>
              <w:spacing w:after="0" w:line="240" w:lineRule="auto"/>
              <w:rPr>
                <w:color w:val="000000"/>
              </w:rPr>
            </w:pPr>
            <w:r>
              <w:rPr>
                <w:color w:val="000000"/>
              </w:rPr>
              <w:t>.61</w:t>
            </w:r>
          </w:p>
        </w:tc>
        <w:tc>
          <w:tcPr>
            <w:tcW w:w="1559" w:type="dxa"/>
            <w:tcBorders>
              <w:top w:val="nil"/>
              <w:left w:val="nil"/>
              <w:bottom w:val="nil"/>
              <w:right w:val="nil"/>
            </w:tcBorders>
            <w:shd w:val="clear" w:color="auto" w:fill="auto"/>
            <w:noWrap/>
            <w:vAlign w:val="center"/>
            <w:hideMark/>
          </w:tcPr>
          <w:p w14:paraId="10385135" w14:textId="77777777" w:rsidR="00237D87" w:rsidRPr="00B071B7" w:rsidRDefault="00237D87" w:rsidP="00237D87">
            <w:pPr>
              <w:spacing w:after="0" w:line="240" w:lineRule="auto"/>
              <w:rPr>
                <w:color w:val="000000"/>
              </w:rPr>
            </w:pPr>
            <w:r w:rsidRPr="00B071B7">
              <w:rPr>
                <w:color w:val="000000"/>
              </w:rPr>
              <w:t>.76</w:t>
            </w:r>
          </w:p>
        </w:tc>
        <w:tc>
          <w:tcPr>
            <w:tcW w:w="1496" w:type="dxa"/>
            <w:tcBorders>
              <w:top w:val="nil"/>
              <w:left w:val="nil"/>
              <w:bottom w:val="nil"/>
              <w:right w:val="nil"/>
            </w:tcBorders>
            <w:shd w:val="clear" w:color="auto" w:fill="auto"/>
            <w:noWrap/>
            <w:vAlign w:val="bottom"/>
            <w:hideMark/>
          </w:tcPr>
          <w:p w14:paraId="5B901C71" w14:textId="77777777" w:rsidR="00237D87" w:rsidRPr="00B071B7" w:rsidRDefault="00237D87" w:rsidP="00237D87">
            <w:pPr>
              <w:spacing w:after="0" w:line="240" w:lineRule="auto"/>
              <w:rPr>
                <w:color w:val="000000"/>
              </w:rPr>
            </w:pPr>
            <w:r w:rsidRPr="00B071B7">
              <w:rPr>
                <w:color w:val="000000"/>
              </w:rPr>
              <w:t>.53</w:t>
            </w:r>
          </w:p>
        </w:tc>
      </w:tr>
      <w:tr w:rsidR="00237D87" w:rsidRPr="00B071B7" w14:paraId="107BEEC1" w14:textId="77777777" w:rsidTr="00F866EA">
        <w:trPr>
          <w:trHeight w:val="300"/>
        </w:trPr>
        <w:tc>
          <w:tcPr>
            <w:tcW w:w="2082" w:type="dxa"/>
            <w:tcBorders>
              <w:top w:val="nil"/>
              <w:left w:val="nil"/>
              <w:bottom w:val="nil"/>
              <w:right w:val="nil"/>
            </w:tcBorders>
            <w:shd w:val="clear" w:color="auto" w:fill="auto"/>
            <w:noWrap/>
            <w:vAlign w:val="bottom"/>
            <w:hideMark/>
          </w:tcPr>
          <w:p w14:paraId="11E3AE11" w14:textId="77777777" w:rsidR="00237D87" w:rsidRPr="0021398F" w:rsidRDefault="00237D87" w:rsidP="00237D87">
            <w:pPr>
              <w:spacing w:after="0" w:line="240" w:lineRule="auto"/>
              <w:jc w:val="left"/>
              <w:rPr>
                <w:color w:val="000000"/>
              </w:rPr>
            </w:pPr>
            <w:r w:rsidRPr="0021398F">
              <w:rPr>
                <w:color w:val="000000"/>
              </w:rPr>
              <w:t>Hungary</w:t>
            </w:r>
          </w:p>
        </w:tc>
        <w:tc>
          <w:tcPr>
            <w:tcW w:w="1426" w:type="dxa"/>
            <w:tcBorders>
              <w:top w:val="nil"/>
              <w:left w:val="nil"/>
              <w:bottom w:val="nil"/>
              <w:right w:val="nil"/>
            </w:tcBorders>
            <w:shd w:val="clear" w:color="auto" w:fill="auto"/>
            <w:noWrap/>
            <w:vAlign w:val="bottom"/>
            <w:hideMark/>
          </w:tcPr>
          <w:p w14:paraId="6699793F" w14:textId="295ED6CD" w:rsidR="00237D87" w:rsidRPr="00B071B7" w:rsidRDefault="00237D87" w:rsidP="00237D87">
            <w:pPr>
              <w:spacing w:after="0" w:line="240" w:lineRule="auto"/>
              <w:rPr>
                <w:color w:val="000000"/>
              </w:rPr>
            </w:pPr>
            <w:r>
              <w:rPr>
                <w:color w:val="000000"/>
              </w:rPr>
              <w:t>.80</w:t>
            </w:r>
          </w:p>
        </w:tc>
        <w:tc>
          <w:tcPr>
            <w:tcW w:w="1462" w:type="dxa"/>
            <w:tcBorders>
              <w:top w:val="nil"/>
              <w:left w:val="nil"/>
              <w:bottom w:val="nil"/>
              <w:right w:val="nil"/>
            </w:tcBorders>
            <w:shd w:val="clear" w:color="auto" w:fill="auto"/>
            <w:noWrap/>
            <w:vAlign w:val="bottom"/>
            <w:hideMark/>
          </w:tcPr>
          <w:p w14:paraId="28CD5322" w14:textId="077C207B" w:rsidR="00237D87" w:rsidRPr="00B071B7" w:rsidRDefault="00237D87" w:rsidP="00237D87">
            <w:pPr>
              <w:spacing w:after="0" w:line="240" w:lineRule="auto"/>
              <w:rPr>
                <w:color w:val="000000"/>
              </w:rPr>
            </w:pPr>
            <w:r>
              <w:rPr>
                <w:color w:val="000000"/>
              </w:rPr>
              <w:t>.49</w:t>
            </w:r>
          </w:p>
        </w:tc>
        <w:tc>
          <w:tcPr>
            <w:tcW w:w="1559" w:type="dxa"/>
            <w:tcBorders>
              <w:top w:val="nil"/>
              <w:left w:val="nil"/>
              <w:bottom w:val="nil"/>
              <w:right w:val="nil"/>
            </w:tcBorders>
            <w:shd w:val="clear" w:color="auto" w:fill="auto"/>
            <w:noWrap/>
            <w:vAlign w:val="center"/>
            <w:hideMark/>
          </w:tcPr>
          <w:p w14:paraId="67FB12BF" w14:textId="77777777" w:rsidR="00237D87" w:rsidRPr="00B071B7" w:rsidRDefault="00237D87" w:rsidP="00237D87">
            <w:pPr>
              <w:spacing w:after="0" w:line="240" w:lineRule="auto"/>
              <w:rPr>
                <w:color w:val="000000"/>
              </w:rPr>
            </w:pPr>
            <w:r w:rsidRPr="00B071B7">
              <w:rPr>
                <w:color w:val="000000"/>
              </w:rPr>
              <w:t>.61</w:t>
            </w:r>
          </w:p>
        </w:tc>
        <w:tc>
          <w:tcPr>
            <w:tcW w:w="1496" w:type="dxa"/>
            <w:tcBorders>
              <w:top w:val="nil"/>
              <w:left w:val="nil"/>
              <w:bottom w:val="nil"/>
              <w:right w:val="nil"/>
            </w:tcBorders>
            <w:shd w:val="clear" w:color="auto" w:fill="auto"/>
            <w:noWrap/>
            <w:vAlign w:val="bottom"/>
            <w:hideMark/>
          </w:tcPr>
          <w:p w14:paraId="260B0999" w14:textId="77777777" w:rsidR="00237D87" w:rsidRPr="00B071B7" w:rsidRDefault="00237D87" w:rsidP="00237D87">
            <w:pPr>
              <w:spacing w:after="0" w:line="240" w:lineRule="auto"/>
              <w:rPr>
                <w:color w:val="000000"/>
              </w:rPr>
            </w:pPr>
            <w:r w:rsidRPr="00B071B7">
              <w:rPr>
                <w:color w:val="000000"/>
              </w:rPr>
              <w:t>.41</w:t>
            </w:r>
          </w:p>
        </w:tc>
      </w:tr>
      <w:tr w:rsidR="00237D87" w:rsidRPr="00B071B7" w14:paraId="355711D5" w14:textId="77777777" w:rsidTr="00F866EA">
        <w:trPr>
          <w:trHeight w:val="300"/>
        </w:trPr>
        <w:tc>
          <w:tcPr>
            <w:tcW w:w="2082" w:type="dxa"/>
            <w:tcBorders>
              <w:top w:val="nil"/>
              <w:left w:val="nil"/>
              <w:bottom w:val="nil"/>
              <w:right w:val="nil"/>
            </w:tcBorders>
            <w:shd w:val="clear" w:color="auto" w:fill="auto"/>
            <w:noWrap/>
            <w:vAlign w:val="bottom"/>
            <w:hideMark/>
          </w:tcPr>
          <w:p w14:paraId="7D83101E" w14:textId="77777777" w:rsidR="00237D87" w:rsidRPr="0021398F" w:rsidRDefault="00237D87" w:rsidP="00237D87">
            <w:pPr>
              <w:spacing w:after="0" w:line="240" w:lineRule="auto"/>
              <w:jc w:val="left"/>
              <w:rPr>
                <w:color w:val="000000"/>
              </w:rPr>
            </w:pPr>
            <w:r w:rsidRPr="0021398F">
              <w:rPr>
                <w:color w:val="000000"/>
              </w:rPr>
              <w:t>India</w:t>
            </w:r>
          </w:p>
        </w:tc>
        <w:tc>
          <w:tcPr>
            <w:tcW w:w="1426" w:type="dxa"/>
            <w:tcBorders>
              <w:top w:val="nil"/>
              <w:left w:val="nil"/>
              <w:bottom w:val="nil"/>
              <w:right w:val="nil"/>
            </w:tcBorders>
            <w:shd w:val="clear" w:color="auto" w:fill="auto"/>
            <w:noWrap/>
            <w:vAlign w:val="bottom"/>
            <w:hideMark/>
          </w:tcPr>
          <w:p w14:paraId="280E3CF8" w14:textId="1755698B" w:rsidR="00237D87" w:rsidRPr="00B071B7" w:rsidRDefault="00237D87" w:rsidP="00237D87">
            <w:pPr>
              <w:spacing w:after="0" w:line="240" w:lineRule="auto"/>
              <w:rPr>
                <w:color w:val="000000"/>
              </w:rPr>
            </w:pPr>
            <w:r>
              <w:rPr>
                <w:color w:val="000000"/>
              </w:rPr>
              <w:t>.79</w:t>
            </w:r>
          </w:p>
        </w:tc>
        <w:tc>
          <w:tcPr>
            <w:tcW w:w="1462" w:type="dxa"/>
            <w:tcBorders>
              <w:top w:val="nil"/>
              <w:left w:val="nil"/>
              <w:bottom w:val="nil"/>
              <w:right w:val="nil"/>
            </w:tcBorders>
            <w:shd w:val="clear" w:color="auto" w:fill="auto"/>
            <w:noWrap/>
            <w:vAlign w:val="bottom"/>
            <w:hideMark/>
          </w:tcPr>
          <w:p w14:paraId="4545C97D" w14:textId="76390AF2" w:rsidR="00237D87" w:rsidRPr="00B071B7" w:rsidRDefault="00237D87" w:rsidP="00237D87">
            <w:pPr>
              <w:spacing w:after="0" w:line="240" w:lineRule="auto"/>
              <w:rPr>
                <w:color w:val="000000"/>
              </w:rPr>
            </w:pPr>
            <w:r>
              <w:rPr>
                <w:color w:val="000000"/>
              </w:rPr>
              <w:t>.62</w:t>
            </w:r>
          </w:p>
        </w:tc>
        <w:tc>
          <w:tcPr>
            <w:tcW w:w="1559" w:type="dxa"/>
            <w:tcBorders>
              <w:top w:val="nil"/>
              <w:left w:val="nil"/>
              <w:bottom w:val="nil"/>
              <w:right w:val="nil"/>
            </w:tcBorders>
            <w:shd w:val="clear" w:color="auto" w:fill="auto"/>
            <w:noWrap/>
            <w:vAlign w:val="center"/>
            <w:hideMark/>
          </w:tcPr>
          <w:p w14:paraId="214FA09F" w14:textId="77777777" w:rsidR="00237D87" w:rsidRPr="00B071B7" w:rsidRDefault="00237D87" w:rsidP="00237D87">
            <w:pPr>
              <w:spacing w:after="0" w:line="240" w:lineRule="auto"/>
              <w:rPr>
                <w:color w:val="000000"/>
              </w:rPr>
            </w:pPr>
            <w:r w:rsidRPr="00B071B7">
              <w:rPr>
                <w:color w:val="000000"/>
              </w:rPr>
              <w:t>.64</w:t>
            </w:r>
          </w:p>
        </w:tc>
        <w:tc>
          <w:tcPr>
            <w:tcW w:w="1496" w:type="dxa"/>
            <w:tcBorders>
              <w:top w:val="nil"/>
              <w:left w:val="nil"/>
              <w:bottom w:val="nil"/>
              <w:right w:val="nil"/>
            </w:tcBorders>
            <w:shd w:val="clear" w:color="auto" w:fill="auto"/>
            <w:noWrap/>
            <w:vAlign w:val="bottom"/>
            <w:hideMark/>
          </w:tcPr>
          <w:p w14:paraId="06D1AFEF" w14:textId="77777777" w:rsidR="00237D87" w:rsidRPr="00B071B7" w:rsidRDefault="00237D87" w:rsidP="00237D87">
            <w:pPr>
              <w:spacing w:after="0" w:line="240" w:lineRule="auto"/>
              <w:rPr>
                <w:color w:val="000000"/>
              </w:rPr>
            </w:pPr>
            <w:r w:rsidRPr="00B071B7">
              <w:rPr>
                <w:color w:val="000000"/>
              </w:rPr>
              <w:t>.38</w:t>
            </w:r>
          </w:p>
        </w:tc>
      </w:tr>
      <w:tr w:rsidR="00237D87" w:rsidRPr="00B071B7" w14:paraId="709F7D61" w14:textId="77777777" w:rsidTr="00F866EA">
        <w:trPr>
          <w:trHeight w:val="300"/>
        </w:trPr>
        <w:tc>
          <w:tcPr>
            <w:tcW w:w="2082" w:type="dxa"/>
            <w:tcBorders>
              <w:top w:val="nil"/>
              <w:left w:val="nil"/>
              <w:bottom w:val="nil"/>
              <w:right w:val="nil"/>
            </w:tcBorders>
            <w:shd w:val="clear" w:color="auto" w:fill="auto"/>
            <w:noWrap/>
            <w:vAlign w:val="bottom"/>
            <w:hideMark/>
          </w:tcPr>
          <w:p w14:paraId="6853E015" w14:textId="77777777" w:rsidR="00237D87" w:rsidRPr="0021398F" w:rsidRDefault="00237D87" w:rsidP="00237D87">
            <w:pPr>
              <w:spacing w:after="0" w:line="240" w:lineRule="auto"/>
              <w:jc w:val="left"/>
              <w:rPr>
                <w:color w:val="000000"/>
              </w:rPr>
            </w:pPr>
            <w:r w:rsidRPr="0021398F">
              <w:rPr>
                <w:color w:val="000000"/>
              </w:rPr>
              <w:t>Indonesia</w:t>
            </w:r>
          </w:p>
        </w:tc>
        <w:tc>
          <w:tcPr>
            <w:tcW w:w="1426" w:type="dxa"/>
            <w:tcBorders>
              <w:top w:val="nil"/>
              <w:left w:val="nil"/>
              <w:bottom w:val="nil"/>
              <w:right w:val="nil"/>
            </w:tcBorders>
            <w:shd w:val="clear" w:color="auto" w:fill="auto"/>
            <w:noWrap/>
            <w:vAlign w:val="bottom"/>
            <w:hideMark/>
          </w:tcPr>
          <w:p w14:paraId="74C87F4F" w14:textId="2B209A0C" w:rsidR="00237D87" w:rsidRPr="00B071B7" w:rsidRDefault="00237D87" w:rsidP="00237D87">
            <w:pPr>
              <w:spacing w:after="0" w:line="240" w:lineRule="auto"/>
              <w:rPr>
                <w:color w:val="000000"/>
              </w:rPr>
            </w:pPr>
            <w:r>
              <w:rPr>
                <w:color w:val="000000"/>
              </w:rPr>
              <w:t>.77</w:t>
            </w:r>
          </w:p>
        </w:tc>
        <w:tc>
          <w:tcPr>
            <w:tcW w:w="1462" w:type="dxa"/>
            <w:tcBorders>
              <w:top w:val="nil"/>
              <w:left w:val="nil"/>
              <w:bottom w:val="nil"/>
              <w:right w:val="nil"/>
            </w:tcBorders>
            <w:shd w:val="clear" w:color="auto" w:fill="auto"/>
            <w:noWrap/>
            <w:vAlign w:val="bottom"/>
            <w:hideMark/>
          </w:tcPr>
          <w:p w14:paraId="4AC8F94D" w14:textId="30AA251D" w:rsidR="00237D87" w:rsidRPr="00B071B7" w:rsidRDefault="00237D87" w:rsidP="00237D87">
            <w:pPr>
              <w:spacing w:after="0" w:line="240" w:lineRule="auto"/>
              <w:rPr>
                <w:color w:val="000000"/>
              </w:rPr>
            </w:pPr>
            <w:r>
              <w:rPr>
                <w:color w:val="000000"/>
              </w:rPr>
              <w:t>.50</w:t>
            </w:r>
          </w:p>
        </w:tc>
        <w:tc>
          <w:tcPr>
            <w:tcW w:w="1559" w:type="dxa"/>
            <w:tcBorders>
              <w:top w:val="nil"/>
              <w:left w:val="nil"/>
              <w:bottom w:val="nil"/>
              <w:right w:val="nil"/>
            </w:tcBorders>
            <w:shd w:val="clear" w:color="auto" w:fill="auto"/>
            <w:noWrap/>
            <w:vAlign w:val="center"/>
            <w:hideMark/>
          </w:tcPr>
          <w:p w14:paraId="1B10E5B4" w14:textId="77777777" w:rsidR="00237D87" w:rsidRPr="00B071B7" w:rsidRDefault="00237D87" w:rsidP="00237D87">
            <w:pPr>
              <w:spacing w:after="0" w:line="240" w:lineRule="auto"/>
              <w:rPr>
                <w:color w:val="000000"/>
              </w:rPr>
            </w:pPr>
            <w:r w:rsidRPr="00B071B7">
              <w:rPr>
                <w:color w:val="000000"/>
              </w:rPr>
              <w:t>.54</w:t>
            </w:r>
          </w:p>
        </w:tc>
        <w:tc>
          <w:tcPr>
            <w:tcW w:w="1496" w:type="dxa"/>
            <w:tcBorders>
              <w:top w:val="nil"/>
              <w:left w:val="nil"/>
              <w:bottom w:val="nil"/>
              <w:right w:val="nil"/>
            </w:tcBorders>
            <w:shd w:val="clear" w:color="auto" w:fill="auto"/>
            <w:noWrap/>
            <w:vAlign w:val="bottom"/>
            <w:hideMark/>
          </w:tcPr>
          <w:p w14:paraId="7248DEFD" w14:textId="77777777" w:rsidR="00237D87" w:rsidRPr="00B071B7" w:rsidRDefault="00237D87" w:rsidP="00237D87">
            <w:pPr>
              <w:spacing w:after="0" w:line="240" w:lineRule="auto"/>
              <w:rPr>
                <w:color w:val="000000"/>
              </w:rPr>
            </w:pPr>
            <w:r w:rsidRPr="00B071B7">
              <w:rPr>
                <w:color w:val="000000"/>
              </w:rPr>
              <w:t>.41</w:t>
            </w:r>
          </w:p>
        </w:tc>
      </w:tr>
      <w:tr w:rsidR="00237D87" w:rsidRPr="00B071B7" w14:paraId="68541EBD" w14:textId="77777777" w:rsidTr="00F866EA">
        <w:trPr>
          <w:trHeight w:val="300"/>
        </w:trPr>
        <w:tc>
          <w:tcPr>
            <w:tcW w:w="2082" w:type="dxa"/>
            <w:tcBorders>
              <w:top w:val="nil"/>
              <w:left w:val="nil"/>
              <w:bottom w:val="nil"/>
              <w:right w:val="nil"/>
            </w:tcBorders>
            <w:shd w:val="clear" w:color="auto" w:fill="auto"/>
            <w:noWrap/>
            <w:vAlign w:val="bottom"/>
            <w:hideMark/>
          </w:tcPr>
          <w:p w14:paraId="3199DA9D" w14:textId="77777777" w:rsidR="00237D87" w:rsidRPr="0021398F" w:rsidRDefault="00237D87" w:rsidP="00237D87">
            <w:pPr>
              <w:spacing w:after="0" w:line="240" w:lineRule="auto"/>
              <w:jc w:val="left"/>
              <w:rPr>
                <w:color w:val="000000"/>
              </w:rPr>
            </w:pPr>
            <w:r w:rsidRPr="0021398F">
              <w:rPr>
                <w:color w:val="000000"/>
              </w:rPr>
              <w:t>Israel</w:t>
            </w:r>
          </w:p>
        </w:tc>
        <w:tc>
          <w:tcPr>
            <w:tcW w:w="1426" w:type="dxa"/>
            <w:tcBorders>
              <w:top w:val="nil"/>
              <w:left w:val="nil"/>
              <w:bottom w:val="nil"/>
              <w:right w:val="nil"/>
            </w:tcBorders>
            <w:shd w:val="clear" w:color="auto" w:fill="auto"/>
            <w:noWrap/>
            <w:vAlign w:val="bottom"/>
            <w:hideMark/>
          </w:tcPr>
          <w:p w14:paraId="766493EC" w14:textId="706F8D08" w:rsidR="00237D87" w:rsidRPr="00B071B7" w:rsidRDefault="00237D87" w:rsidP="00237D87">
            <w:pPr>
              <w:spacing w:after="0" w:line="240" w:lineRule="auto"/>
              <w:rPr>
                <w:color w:val="000000"/>
              </w:rPr>
            </w:pPr>
            <w:r>
              <w:rPr>
                <w:color w:val="000000"/>
              </w:rPr>
              <w:t>.87</w:t>
            </w:r>
          </w:p>
        </w:tc>
        <w:tc>
          <w:tcPr>
            <w:tcW w:w="1462" w:type="dxa"/>
            <w:tcBorders>
              <w:top w:val="nil"/>
              <w:left w:val="nil"/>
              <w:bottom w:val="nil"/>
              <w:right w:val="nil"/>
            </w:tcBorders>
            <w:shd w:val="clear" w:color="auto" w:fill="auto"/>
            <w:noWrap/>
            <w:vAlign w:val="bottom"/>
            <w:hideMark/>
          </w:tcPr>
          <w:p w14:paraId="0B8BAB3D" w14:textId="690AE9F0" w:rsidR="00237D87" w:rsidRPr="00B071B7" w:rsidRDefault="00237D87" w:rsidP="00237D87">
            <w:pPr>
              <w:spacing w:after="0" w:line="240" w:lineRule="auto"/>
              <w:rPr>
                <w:color w:val="000000"/>
              </w:rPr>
            </w:pPr>
            <w:r>
              <w:rPr>
                <w:color w:val="000000"/>
              </w:rPr>
              <w:t>.50</w:t>
            </w:r>
          </w:p>
        </w:tc>
        <w:tc>
          <w:tcPr>
            <w:tcW w:w="1559" w:type="dxa"/>
            <w:tcBorders>
              <w:top w:val="nil"/>
              <w:left w:val="nil"/>
              <w:bottom w:val="nil"/>
              <w:right w:val="nil"/>
            </w:tcBorders>
            <w:shd w:val="clear" w:color="auto" w:fill="auto"/>
            <w:noWrap/>
            <w:vAlign w:val="center"/>
            <w:hideMark/>
          </w:tcPr>
          <w:p w14:paraId="08350939" w14:textId="77777777" w:rsidR="00237D87" w:rsidRPr="00B071B7" w:rsidRDefault="00237D87" w:rsidP="00237D87">
            <w:pPr>
              <w:spacing w:after="0" w:line="240" w:lineRule="auto"/>
              <w:rPr>
                <w:color w:val="000000"/>
              </w:rPr>
            </w:pPr>
            <w:r w:rsidRPr="00B071B7">
              <w:rPr>
                <w:color w:val="000000"/>
              </w:rPr>
              <w:t>.64</w:t>
            </w:r>
          </w:p>
        </w:tc>
        <w:tc>
          <w:tcPr>
            <w:tcW w:w="1496" w:type="dxa"/>
            <w:tcBorders>
              <w:top w:val="nil"/>
              <w:left w:val="nil"/>
              <w:bottom w:val="nil"/>
              <w:right w:val="nil"/>
            </w:tcBorders>
            <w:shd w:val="clear" w:color="auto" w:fill="auto"/>
            <w:noWrap/>
            <w:vAlign w:val="bottom"/>
            <w:hideMark/>
          </w:tcPr>
          <w:p w14:paraId="75AF7CD0" w14:textId="77777777" w:rsidR="00237D87" w:rsidRPr="00B071B7" w:rsidRDefault="00237D87" w:rsidP="00237D87">
            <w:pPr>
              <w:spacing w:after="0" w:line="240" w:lineRule="auto"/>
              <w:rPr>
                <w:color w:val="000000"/>
              </w:rPr>
            </w:pPr>
            <w:r w:rsidRPr="00B071B7">
              <w:rPr>
                <w:color w:val="000000"/>
              </w:rPr>
              <w:t>.52</w:t>
            </w:r>
          </w:p>
        </w:tc>
      </w:tr>
      <w:tr w:rsidR="00237D87" w:rsidRPr="00B071B7" w14:paraId="13CC9378" w14:textId="77777777" w:rsidTr="00F866EA">
        <w:trPr>
          <w:trHeight w:val="300"/>
        </w:trPr>
        <w:tc>
          <w:tcPr>
            <w:tcW w:w="2082" w:type="dxa"/>
            <w:tcBorders>
              <w:top w:val="nil"/>
              <w:left w:val="nil"/>
              <w:bottom w:val="nil"/>
              <w:right w:val="nil"/>
            </w:tcBorders>
            <w:shd w:val="clear" w:color="auto" w:fill="auto"/>
            <w:noWrap/>
            <w:vAlign w:val="bottom"/>
            <w:hideMark/>
          </w:tcPr>
          <w:p w14:paraId="7E2C1724" w14:textId="77777777" w:rsidR="00237D87" w:rsidRPr="0021398F" w:rsidRDefault="00237D87" w:rsidP="00237D87">
            <w:pPr>
              <w:spacing w:after="0" w:line="240" w:lineRule="auto"/>
              <w:jc w:val="left"/>
              <w:rPr>
                <w:color w:val="000000"/>
              </w:rPr>
            </w:pPr>
            <w:r w:rsidRPr="0021398F">
              <w:rPr>
                <w:color w:val="000000"/>
              </w:rPr>
              <w:t>Italy</w:t>
            </w:r>
          </w:p>
        </w:tc>
        <w:tc>
          <w:tcPr>
            <w:tcW w:w="1426" w:type="dxa"/>
            <w:tcBorders>
              <w:top w:val="nil"/>
              <w:left w:val="nil"/>
              <w:bottom w:val="nil"/>
              <w:right w:val="nil"/>
            </w:tcBorders>
            <w:shd w:val="clear" w:color="auto" w:fill="auto"/>
            <w:noWrap/>
            <w:vAlign w:val="bottom"/>
            <w:hideMark/>
          </w:tcPr>
          <w:p w14:paraId="7C80C226" w14:textId="6099DE92" w:rsidR="00237D87" w:rsidRPr="00B071B7" w:rsidRDefault="00237D87" w:rsidP="00237D87">
            <w:pPr>
              <w:spacing w:after="0" w:line="240" w:lineRule="auto"/>
              <w:rPr>
                <w:color w:val="000000"/>
              </w:rPr>
            </w:pPr>
            <w:r>
              <w:rPr>
                <w:color w:val="000000"/>
              </w:rPr>
              <w:t>.80</w:t>
            </w:r>
          </w:p>
        </w:tc>
        <w:tc>
          <w:tcPr>
            <w:tcW w:w="1462" w:type="dxa"/>
            <w:tcBorders>
              <w:top w:val="nil"/>
              <w:left w:val="nil"/>
              <w:bottom w:val="nil"/>
              <w:right w:val="nil"/>
            </w:tcBorders>
            <w:shd w:val="clear" w:color="auto" w:fill="auto"/>
            <w:noWrap/>
            <w:vAlign w:val="bottom"/>
            <w:hideMark/>
          </w:tcPr>
          <w:p w14:paraId="72A53898" w14:textId="1ABBCCD4" w:rsidR="00237D87" w:rsidRPr="00B071B7" w:rsidRDefault="00237D87" w:rsidP="00237D87">
            <w:pPr>
              <w:spacing w:after="0" w:line="240" w:lineRule="auto"/>
              <w:rPr>
                <w:color w:val="000000"/>
              </w:rPr>
            </w:pPr>
            <w:r>
              <w:rPr>
                <w:color w:val="000000"/>
              </w:rPr>
              <w:t>.54</w:t>
            </w:r>
          </w:p>
        </w:tc>
        <w:tc>
          <w:tcPr>
            <w:tcW w:w="1559" w:type="dxa"/>
            <w:tcBorders>
              <w:top w:val="nil"/>
              <w:left w:val="nil"/>
              <w:bottom w:val="nil"/>
              <w:right w:val="nil"/>
            </w:tcBorders>
            <w:shd w:val="clear" w:color="auto" w:fill="auto"/>
            <w:noWrap/>
            <w:vAlign w:val="center"/>
            <w:hideMark/>
          </w:tcPr>
          <w:p w14:paraId="477904BF" w14:textId="77777777" w:rsidR="00237D87" w:rsidRPr="00B071B7" w:rsidRDefault="00237D87" w:rsidP="00237D87">
            <w:pPr>
              <w:spacing w:after="0" w:line="240" w:lineRule="auto"/>
              <w:rPr>
                <w:color w:val="000000"/>
              </w:rPr>
            </w:pPr>
            <w:r w:rsidRPr="00B071B7">
              <w:rPr>
                <w:color w:val="000000"/>
              </w:rPr>
              <w:t>.55</w:t>
            </w:r>
          </w:p>
        </w:tc>
        <w:tc>
          <w:tcPr>
            <w:tcW w:w="1496" w:type="dxa"/>
            <w:tcBorders>
              <w:top w:val="nil"/>
              <w:left w:val="nil"/>
              <w:bottom w:val="nil"/>
              <w:right w:val="nil"/>
            </w:tcBorders>
            <w:shd w:val="clear" w:color="auto" w:fill="auto"/>
            <w:noWrap/>
            <w:vAlign w:val="bottom"/>
            <w:hideMark/>
          </w:tcPr>
          <w:p w14:paraId="08B7F206"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7E26C43D" w14:textId="77777777" w:rsidTr="00F866EA">
        <w:trPr>
          <w:trHeight w:val="300"/>
        </w:trPr>
        <w:tc>
          <w:tcPr>
            <w:tcW w:w="2082" w:type="dxa"/>
            <w:tcBorders>
              <w:top w:val="nil"/>
              <w:left w:val="nil"/>
              <w:bottom w:val="nil"/>
              <w:right w:val="nil"/>
            </w:tcBorders>
            <w:shd w:val="clear" w:color="auto" w:fill="auto"/>
            <w:noWrap/>
            <w:vAlign w:val="bottom"/>
            <w:hideMark/>
          </w:tcPr>
          <w:p w14:paraId="2A421A6B" w14:textId="77777777" w:rsidR="00237D87" w:rsidRPr="0021398F" w:rsidRDefault="00237D87" w:rsidP="00237D87">
            <w:pPr>
              <w:spacing w:after="0" w:line="240" w:lineRule="auto"/>
              <w:jc w:val="left"/>
              <w:rPr>
                <w:color w:val="000000"/>
              </w:rPr>
            </w:pPr>
            <w:r w:rsidRPr="0021398F">
              <w:rPr>
                <w:color w:val="000000"/>
              </w:rPr>
              <w:t>Japan</w:t>
            </w:r>
          </w:p>
        </w:tc>
        <w:tc>
          <w:tcPr>
            <w:tcW w:w="1426" w:type="dxa"/>
            <w:tcBorders>
              <w:top w:val="nil"/>
              <w:left w:val="nil"/>
              <w:bottom w:val="nil"/>
              <w:right w:val="nil"/>
            </w:tcBorders>
            <w:shd w:val="clear" w:color="auto" w:fill="auto"/>
            <w:noWrap/>
            <w:vAlign w:val="bottom"/>
            <w:hideMark/>
          </w:tcPr>
          <w:p w14:paraId="44FC3AB6" w14:textId="3317952A" w:rsidR="00237D87" w:rsidRPr="00B071B7" w:rsidRDefault="00237D87" w:rsidP="00237D87">
            <w:pPr>
              <w:spacing w:after="0" w:line="240" w:lineRule="auto"/>
              <w:rPr>
                <w:color w:val="000000"/>
              </w:rPr>
            </w:pPr>
            <w:r>
              <w:rPr>
                <w:color w:val="000000"/>
              </w:rPr>
              <w:t>.86</w:t>
            </w:r>
          </w:p>
        </w:tc>
        <w:tc>
          <w:tcPr>
            <w:tcW w:w="1462" w:type="dxa"/>
            <w:tcBorders>
              <w:top w:val="nil"/>
              <w:left w:val="nil"/>
              <w:bottom w:val="nil"/>
              <w:right w:val="nil"/>
            </w:tcBorders>
            <w:shd w:val="clear" w:color="auto" w:fill="auto"/>
            <w:noWrap/>
            <w:vAlign w:val="bottom"/>
            <w:hideMark/>
          </w:tcPr>
          <w:p w14:paraId="1B6528AB" w14:textId="6C5449DD" w:rsidR="00237D87" w:rsidRPr="00B071B7" w:rsidRDefault="00237D87" w:rsidP="00237D87">
            <w:pPr>
              <w:spacing w:after="0" w:line="240" w:lineRule="auto"/>
              <w:rPr>
                <w:color w:val="000000"/>
              </w:rPr>
            </w:pPr>
            <w:r>
              <w:rPr>
                <w:color w:val="000000"/>
              </w:rPr>
              <w:t>.62</w:t>
            </w:r>
          </w:p>
        </w:tc>
        <w:tc>
          <w:tcPr>
            <w:tcW w:w="1559" w:type="dxa"/>
            <w:tcBorders>
              <w:top w:val="nil"/>
              <w:left w:val="nil"/>
              <w:bottom w:val="nil"/>
              <w:right w:val="nil"/>
            </w:tcBorders>
            <w:shd w:val="clear" w:color="auto" w:fill="auto"/>
            <w:noWrap/>
            <w:vAlign w:val="center"/>
            <w:hideMark/>
          </w:tcPr>
          <w:p w14:paraId="12D5E5B7" w14:textId="77777777" w:rsidR="00237D87" w:rsidRPr="00B071B7" w:rsidRDefault="00237D87" w:rsidP="00237D87">
            <w:pPr>
              <w:spacing w:after="0" w:line="240" w:lineRule="auto"/>
              <w:rPr>
                <w:color w:val="000000"/>
              </w:rPr>
            </w:pPr>
            <w:r w:rsidRPr="00B071B7">
              <w:rPr>
                <w:color w:val="000000"/>
              </w:rPr>
              <w:t>.71</w:t>
            </w:r>
          </w:p>
        </w:tc>
        <w:tc>
          <w:tcPr>
            <w:tcW w:w="1496" w:type="dxa"/>
            <w:tcBorders>
              <w:top w:val="nil"/>
              <w:left w:val="nil"/>
              <w:bottom w:val="nil"/>
              <w:right w:val="nil"/>
            </w:tcBorders>
            <w:shd w:val="clear" w:color="auto" w:fill="auto"/>
            <w:noWrap/>
            <w:vAlign w:val="bottom"/>
            <w:hideMark/>
          </w:tcPr>
          <w:p w14:paraId="32DA5CCC" w14:textId="77777777" w:rsidR="00237D87" w:rsidRPr="00B071B7" w:rsidRDefault="00237D87" w:rsidP="00237D87">
            <w:pPr>
              <w:spacing w:after="0" w:line="240" w:lineRule="auto"/>
              <w:rPr>
                <w:color w:val="000000"/>
              </w:rPr>
            </w:pPr>
            <w:r w:rsidRPr="00B071B7">
              <w:rPr>
                <w:color w:val="000000"/>
              </w:rPr>
              <w:t>.48</w:t>
            </w:r>
          </w:p>
        </w:tc>
      </w:tr>
      <w:tr w:rsidR="00237D87" w:rsidRPr="00B071B7" w14:paraId="76A1FDB8" w14:textId="77777777" w:rsidTr="00F866EA">
        <w:trPr>
          <w:trHeight w:val="300"/>
        </w:trPr>
        <w:tc>
          <w:tcPr>
            <w:tcW w:w="2082" w:type="dxa"/>
            <w:tcBorders>
              <w:top w:val="nil"/>
              <w:left w:val="nil"/>
              <w:bottom w:val="nil"/>
              <w:right w:val="nil"/>
            </w:tcBorders>
            <w:shd w:val="clear" w:color="auto" w:fill="auto"/>
            <w:noWrap/>
            <w:vAlign w:val="bottom"/>
            <w:hideMark/>
          </w:tcPr>
          <w:p w14:paraId="304358F7" w14:textId="77777777" w:rsidR="00237D87" w:rsidRPr="0021398F" w:rsidRDefault="00237D87" w:rsidP="00237D87">
            <w:pPr>
              <w:spacing w:after="0" w:line="240" w:lineRule="auto"/>
              <w:jc w:val="left"/>
              <w:rPr>
                <w:color w:val="000000"/>
              </w:rPr>
            </w:pPr>
            <w:r w:rsidRPr="0021398F">
              <w:rPr>
                <w:color w:val="000000"/>
              </w:rPr>
              <w:t>Jordan</w:t>
            </w:r>
          </w:p>
        </w:tc>
        <w:tc>
          <w:tcPr>
            <w:tcW w:w="1426" w:type="dxa"/>
            <w:tcBorders>
              <w:top w:val="nil"/>
              <w:left w:val="nil"/>
              <w:bottom w:val="nil"/>
              <w:right w:val="nil"/>
            </w:tcBorders>
            <w:shd w:val="clear" w:color="auto" w:fill="auto"/>
            <w:noWrap/>
            <w:vAlign w:val="bottom"/>
            <w:hideMark/>
          </w:tcPr>
          <w:p w14:paraId="22B8B880" w14:textId="769E2611" w:rsidR="00237D87" w:rsidRPr="00B071B7" w:rsidRDefault="00237D87" w:rsidP="00237D87">
            <w:pPr>
              <w:spacing w:after="0" w:line="240" w:lineRule="auto"/>
              <w:rPr>
                <w:color w:val="000000"/>
              </w:rPr>
            </w:pPr>
            <w:r>
              <w:rPr>
                <w:color w:val="000000"/>
              </w:rPr>
              <w:t>.89</w:t>
            </w:r>
          </w:p>
        </w:tc>
        <w:tc>
          <w:tcPr>
            <w:tcW w:w="1462" w:type="dxa"/>
            <w:tcBorders>
              <w:top w:val="nil"/>
              <w:left w:val="nil"/>
              <w:bottom w:val="nil"/>
              <w:right w:val="nil"/>
            </w:tcBorders>
            <w:shd w:val="clear" w:color="auto" w:fill="auto"/>
            <w:noWrap/>
            <w:vAlign w:val="bottom"/>
            <w:hideMark/>
          </w:tcPr>
          <w:p w14:paraId="238AC5E4" w14:textId="10BA7781" w:rsidR="00237D87" w:rsidRPr="00B071B7" w:rsidRDefault="00237D87" w:rsidP="00237D87">
            <w:pPr>
              <w:spacing w:after="0" w:line="240" w:lineRule="auto"/>
              <w:rPr>
                <w:color w:val="000000"/>
              </w:rPr>
            </w:pPr>
            <w:r>
              <w:rPr>
                <w:color w:val="000000"/>
              </w:rPr>
              <w:t>.59</w:t>
            </w:r>
          </w:p>
        </w:tc>
        <w:tc>
          <w:tcPr>
            <w:tcW w:w="1559" w:type="dxa"/>
            <w:tcBorders>
              <w:top w:val="nil"/>
              <w:left w:val="nil"/>
              <w:bottom w:val="nil"/>
              <w:right w:val="nil"/>
            </w:tcBorders>
            <w:shd w:val="clear" w:color="auto" w:fill="auto"/>
            <w:noWrap/>
            <w:vAlign w:val="center"/>
            <w:hideMark/>
          </w:tcPr>
          <w:p w14:paraId="1DD688EF"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nil"/>
              <w:right w:val="nil"/>
            </w:tcBorders>
            <w:shd w:val="clear" w:color="auto" w:fill="auto"/>
            <w:noWrap/>
            <w:vAlign w:val="bottom"/>
            <w:hideMark/>
          </w:tcPr>
          <w:p w14:paraId="4A4FE8C7" w14:textId="77777777" w:rsidR="00237D87" w:rsidRPr="00B071B7" w:rsidRDefault="00237D87" w:rsidP="00237D87">
            <w:pPr>
              <w:spacing w:after="0" w:line="240" w:lineRule="auto"/>
              <w:rPr>
                <w:color w:val="000000"/>
              </w:rPr>
            </w:pPr>
            <w:r w:rsidRPr="00B071B7">
              <w:rPr>
                <w:color w:val="000000"/>
              </w:rPr>
              <w:t>.57</w:t>
            </w:r>
          </w:p>
        </w:tc>
      </w:tr>
      <w:tr w:rsidR="00237D87" w:rsidRPr="00B071B7" w14:paraId="39D815DB" w14:textId="77777777" w:rsidTr="00F866EA">
        <w:trPr>
          <w:trHeight w:val="300"/>
        </w:trPr>
        <w:tc>
          <w:tcPr>
            <w:tcW w:w="2082" w:type="dxa"/>
            <w:tcBorders>
              <w:top w:val="nil"/>
              <w:left w:val="nil"/>
              <w:bottom w:val="nil"/>
              <w:right w:val="nil"/>
            </w:tcBorders>
            <w:shd w:val="clear" w:color="auto" w:fill="auto"/>
            <w:noWrap/>
            <w:vAlign w:val="bottom"/>
            <w:hideMark/>
          </w:tcPr>
          <w:p w14:paraId="3F8F7D78" w14:textId="77777777" w:rsidR="00237D87" w:rsidRPr="0021398F" w:rsidRDefault="00237D87" w:rsidP="00237D87">
            <w:pPr>
              <w:spacing w:after="0" w:line="240" w:lineRule="auto"/>
              <w:jc w:val="left"/>
              <w:rPr>
                <w:color w:val="000000"/>
              </w:rPr>
            </w:pPr>
            <w:r w:rsidRPr="0021398F">
              <w:rPr>
                <w:color w:val="000000"/>
              </w:rPr>
              <w:t>Kenya</w:t>
            </w:r>
          </w:p>
        </w:tc>
        <w:tc>
          <w:tcPr>
            <w:tcW w:w="1426" w:type="dxa"/>
            <w:tcBorders>
              <w:top w:val="nil"/>
              <w:left w:val="nil"/>
              <w:bottom w:val="nil"/>
              <w:right w:val="nil"/>
            </w:tcBorders>
            <w:shd w:val="clear" w:color="auto" w:fill="auto"/>
            <w:noWrap/>
            <w:vAlign w:val="bottom"/>
            <w:hideMark/>
          </w:tcPr>
          <w:p w14:paraId="7ECD47B8" w14:textId="7AB7E485"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244569F6" w14:textId="4E401A7B" w:rsidR="00237D87" w:rsidRPr="00B071B7" w:rsidRDefault="00237D87" w:rsidP="00237D87">
            <w:pPr>
              <w:spacing w:after="0" w:line="240" w:lineRule="auto"/>
              <w:rPr>
                <w:color w:val="000000"/>
              </w:rPr>
            </w:pPr>
            <w:r>
              <w:rPr>
                <w:color w:val="000000"/>
              </w:rPr>
              <w:t>.42</w:t>
            </w:r>
          </w:p>
        </w:tc>
        <w:tc>
          <w:tcPr>
            <w:tcW w:w="1559" w:type="dxa"/>
            <w:tcBorders>
              <w:top w:val="nil"/>
              <w:left w:val="nil"/>
              <w:bottom w:val="nil"/>
              <w:right w:val="nil"/>
            </w:tcBorders>
            <w:shd w:val="clear" w:color="auto" w:fill="auto"/>
            <w:noWrap/>
            <w:vAlign w:val="center"/>
            <w:hideMark/>
          </w:tcPr>
          <w:p w14:paraId="15FECF9F" w14:textId="77777777" w:rsidR="00237D87" w:rsidRPr="00B071B7" w:rsidRDefault="00237D87" w:rsidP="00237D87">
            <w:pPr>
              <w:spacing w:after="0" w:line="240" w:lineRule="auto"/>
              <w:rPr>
                <w:color w:val="000000"/>
              </w:rPr>
            </w:pPr>
            <w:r w:rsidRPr="00B071B7">
              <w:rPr>
                <w:color w:val="000000"/>
              </w:rPr>
              <w:t>.46</w:t>
            </w:r>
          </w:p>
        </w:tc>
        <w:tc>
          <w:tcPr>
            <w:tcW w:w="1496" w:type="dxa"/>
            <w:tcBorders>
              <w:top w:val="nil"/>
              <w:left w:val="nil"/>
              <w:bottom w:val="nil"/>
              <w:right w:val="nil"/>
            </w:tcBorders>
            <w:shd w:val="clear" w:color="auto" w:fill="auto"/>
            <w:noWrap/>
            <w:vAlign w:val="bottom"/>
            <w:hideMark/>
          </w:tcPr>
          <w:p w14:paraId="6B6FC4A6" w14:textId="77777777" w:rsidR="00237D87" w:rsidRPr="00B071B7" w:rsidRDefault="00237D87" w:rsidP="00237D87">
            <w:pPr>
              <w:spacing w:after="0" w:line="240" w:lineRule="auto"/>
              <w:rPr>
                <w:color w:val="000000"/>
              </w:rPr>
            </w:pPr>
            <w:r w:rsidRPr="00B071B7">
              <w:rPr>
                <w:color w:val="000000"/>
              </w:rPr>
              <w:t>.50</w:t>
            </w:r>
          </w:p>
        </w:tc>
      </w:tr>
      <w:tr w:rsidR="00237D87" w:rsidRPr="00B071B7" w14:paraId="12022E5F" w14:textId="77777777" w:rsidTr="00F866EA">
        <w:trPr>
          <w:trHeight w:val="300"/>
        </w:trPr>
        <w:tc>
          <w:tcPr>
            <w:tcW w:w="2082" w:type="dxa"/>
            <w:tcBorders>
              <w:top w:val="nil"/>
              <w:left w:val="nil"/>
              <w:bottom w:val="nil"/>
              <w:right w:val="nil"/>
            </w:tcBorders>
            <w:shd w:val="clear" w:color="auto" w:fill="auto"/>
            <w:noWrap/>
            <w:vAlign w:val="bottom"/>
            <w:hideMark/>
          </w:tcPr>
          <w:p w14:paraId="31CB4EA6" w14:textId="77777777" w:rsidR="00237D87" w:rsidRPr="0021398F" w:rsidRDefault="00237D87" w:rsidP="00237D87">
            <w:pPr>
              <w:spacing w:after="0" w:line="240" w:lineRule="auto"/>
              <w:jc w:val="left"/>
              <w:rPr>
                <w:color w:val="000000"/>
              </w:rPr>
            </w:pPr>
            <w:r w:rsidRPr="0021398F">
              <w:rPr>
                <w:color w:val="000000"/>
              </w:rPr>
              <w:t>Latvia</w:t>
            </w:r>
          </w:p>
        </w:tc>
        <w:tc>
          <w:tcPr>
            <w:tcW w:w="1426" w:type="dxa"/>
            <w:tcBorders>
              <w:top w:val="nil"/>
              <w:left w:val="nil"/>
              <w:bottom w:val="nil"/>
              <w:right w:val="nil"/>
            </w:tcBorders>
            <w:shd w:val="clear" w:color="auto" w:fill="auto"/>
            <w:noWrap/>
            <w:vAlign w:val="bottom"/>
            <w:hideMark/>
          </w:tcPr>
          <w:p w14:paraId="5F94F2D8" w14:textId="11862C7C" w:rsidR="00237D87" w:rsidRPr="00B071B7" w:rsidRDefault="00237D87" w:rsidP="00237D87">
            <w:pPr>
              <w:spacing w:after="0" w:line="240" w:lineRule="auto"/>
              <w:rPr>
                <w:color w:val="000000"/>
              </w:rPr>
            </w:pPr>
            <w:r>
              <w:rPr>
                <w:color w:val="000000"/>
              </w:rPr>
              <w:t>.83</w:t>
            </w:r>
          </w:p>
        </w:tc>
        <w:tc>
          <w:tcPr>
            <w:tcW w:w="1462" w:type="dxa"/>
            <w:tcBorders>
              <w:top w:val="nil"/>
              <w:left w:val="nil"/>
              <w:bottom w:val="nil"/>
              <w:right w:val="nil"/>
            </w:tcBorders>
            <w:shd w:val="clear" w:color="auto" w:fill="auto"/>
            <w:noWrap/>
            <w:vAlign w:val="bottom"/>
            <w:hideMark/>
          </w:tcPr>
          <w:p w14:paraId="70353FAD" w14:textId="44FC299C" w:rsidR="00237D87" w:rsidRPr="00B071B7" w:rsidRDefault="00237D87" w:rsidP="00237D87">
            <w:pPr>
              <w:spacing w:after="0" w:line="240" w:lineRule="auto"/>
              <w:rPr>
                <w:color w:val="000000"/>
              </w:rPr>
            </w:pPr>
            <w:r>
              <w:rPr>
                <w:color w:val="000000"/>
              </w:rPr>
              <w:t>.65</w:t>
            </w:r>
          </w:p>
        </w:tc>
        <w:tc>
          <w:tcPr>
            <w:tcW w:w="1559" w:type="dxa"/>
            <w:tcBorders>
              <w:top w:val="nil"/>
              <w:left w:val="nil"/>
              <w:bottom w:val="nil"/>
              <w:right w:val="nil"/>
            </w:tcBorders>
            <w:shd w:val="clear" w:color="auto" w:fill="auto"/>
            <w:noWrap/>
            <w:vAlign w:val="center"/>
            <w:hideMark/>
          </w:tcPr>
          <w:p w14:paraId="45D8CFAD" w14:textId="77777777" w:rsidR="00237D87" w:rsidRPr="00B071B7" w:rsidRDefault="00237D87" w:rsidP="00237D87">
            <w:pPr>
              <w:spacing w:after="0" w:line="240" w:lineRule="auto"/>
              <w:rPr>
                <w:color w:val="000000"/>
              </w:rPr>
            </w:pPr>
            <w:r w:rsidRPr="00B071B7">
              <w:rPr>
                <w:color w:val="000000"/>
              </w:rPr>
              <w:t>.56</w:t>
            </w:r>
          </w:p>
        </w:tc>
        <w:tc>
          <w:tcPr>
            <w:tcW w:w="1496" w:type="dxa"/>
            <w:tcBorders>
              <w:top w:val="nil"/>
              <w:left w:val="nil"/>
              <w:bottom w:val="nil"/>
              <w:right w:val="nil"/>
            </w:tcBorders>
            <w:shd w:val="clear" w:color="auto" w:fill="auto"/>
            <w:noWrap/>
            <w:vAlign w:val="bottom"/>
            <w:hideMark/>
          </w:tcPr>
          <w:p w14:paraId="29A3F531" w14:textId="77777777" w:rsidR="00237D87" w:rsidRPr="00B071B7" w:rsidRDefault="00237D87" w:rsidP="00237D87">
            <w:pPr>
              <w:spacing w:after="0" w:line="240" w:lineRule="auto"/>
              <w:rPr>
                <w:color w:val="000000"/>
              </w:rPr>
            </w:pPr>
            <w:r w:rsidRPr="00B071B7">
              <w:rPr>
                <w:color w:val="000000"/>
              </w:rPr>
              <w:t>.50</w:t>
            </w:r>
          </w:p>
        </w:tc>
      </w:tr>
      <w:tr w:rsidR="00237D87" w:rsidRPr="00B071B7" w14:paraId="4EC47175" w14:textId="77777777" w:rsidTr="00F866EA">
        <w:trPr>
          <w:trHeight w:val="300"/>
        </w:trPr>
        <w:tc>
          <w:tcPr>
            <w:tcW w:w="2082" w:type="dxa"/>
            <w:tcBorders>
              <w:top w:val="nil"/>
              <w:left w:val="nil"/>
              <w:bottom w:val="nil"/>
              <w:right w:val="nil"/>
            </w:tcBorders>
            <w:shd w:val="clear" w:color="auto" w:fill="auto"/>
            <w:noWrap/>
            <w:vAlign w:val="bottom"/>
            <w:hideMark/>
          </w:tcPr>
          <w:p w14:paraId="78B9B69E" w14:textId="77777777" w:rsidR="00237D87" w:rsidRPr="0021398F" w:rsidRDefault="00237D87" w:rsidP="00237D87">
            <w:pPr>
              <w:spacing w:after="0" w:line="240" w:lineRule="auto"/>
              <w:jc w:val="left"/>
              <w:rPr>
                <w:color w:val="000000"/>
              </w:rPr>
            </w:pPr>
            <w:r w:rsidRPr="0021398F">
              <w:rPr>
                <w:color w:val="000000"/>
              </w:rPr>
              <w:t>Lithuania</w:t>
            </w:r>
          </w:p>
        </w:tc>
        <w:tc>
          <w:tcPr>
            <w:tcW w:w="1426" w:type="dxa"/>
            <w:tcBorders>
              <w:top w:val="nil"/>
              <w:left w:val="nil"/>
              <w:bottom w:val="nil"/>
              <w:right w:val="nil"/>
            </w:tcBorders>
            <w:shd w:val="clear" w:color="auto" w:fill="auto"/>
            <w:noWrap/>
            <w:vAlign w:val="bottom"/>
            <w:hideMark/>
          </w:tcPr>
          <w:p w14:paraId="079FCFE0" w14:textId="41080313" w:rsidR="00237D87" w:rsidRPr="00B071B7" w:rsidRDefault="00237D87" w:rsidP="00237D87">
            <w:pPr>
              <w:spacing w:after="0" w:line="240" w:lineRule="auto"/>
              <w:rPr>
                <w:color w:val="000000"/>
              </w:rPr>
            </w:pPr>
            <w:r>
              <w:rPr>
                <w:color w:val="000000"/>
              </w:rPr>
              <w:t>.86</w:t>
            </w:r>
          </w:p>
        </w:tc>
        <w:tc>
          <w:tcPr>
            <w:tcW w:w="1462" w:type="dxa"/>
            <w:tcBorders>
              <w:top w:val="nil"/>
              <w:left w:val="nil"/>
              <w:bottom w:val="nil"/>
              <w:right w:val="nil"/>
            </w:tcBorders>
            <w:shd w:val="clear" w:color="auto" w:fill="auto"/>
            <w:noWrap/>
            <w:vAlign w:val="bottom"/>
            <w:hideMark/>
          </w:tcPr>
          <w:p w14:paraId="18F67D40" w14:textId="41AB4755" w:rsidR="00237D87" w:rsidRPr="00B071B7" w:rsidRDefault="00237D87" w:rsidP="00237D87">
            <w:pPr>
              <w:spacing w:after="0" w:line="240" w:lineRule="auto"/>
              <w:rPr>
                <w:color w:val="000000"/>
              </w:rPr>
            </w:pPr>
            <w:r>
              <w:rPr>
                <w:color w:val="000000"/>
              </w:rPr>
              <w:t>.58</w:t>
            </w:r>
          </w:p>
        </w:tc>
        <w:tc>
          <w:tcPr>
            <w:tcW w:w="1559" w:type="dxa"/>
            <w:tcBorders>
              <w:top w:val="nil"/>
              <w:left w:val="nil"/>
              <w:bottom w:val="nil"/>
              <w:right w:val="nil"/>
            </w:tcBorders>
            <w:shd w:val="clear" w:color="auto" w:fill="auto"/>
            <w:noWrap/>
            <w:vAlign w:val="center"/>
            <w:hideMark/>
          </w:tcPr>
          <w:p w14:paraId="432FAE8E"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nil"/>
              <w:right w:val="nil"/>
            </w:tcBorders>
            <w:shd w:val="clear" w:color="auto" w:fill="auto"/>
            <w:noWrap/>
            <w:vAlign w:val="bottom"/>
            <w:hideMark/>
          </w:tcPr>
          <w:p w14:paraId="1748612B" w14:textId="77777777" w:rsidR="00237D87" w:rsidRPr="00B071B7" w:rsidRDefault="00237D87" w:rsidP="00237D87">
            <w:pPr>
              <w:spacing w:after="0" w:line="240" w:lineRule="auto"/>
              <w:rPr>
                <w:color w:val="000000"/>
              </w:rPr>
            </w:pPr>
            <w:r w:rsidRPr="00B071B7">
              <w:rPr>
                <w:color w:val="000000"/>
              </w:rPr>
              <w:t>.50</w:t>
            </w:r>
          </w:p>
        </w:tc>
      </w:tr>
      <w:tr w:rsidR="00237D87" w:rsidRPr="00B071B7" w14:paraId="5F4FCC59" w14:textId="77777777" w:rsidTr="00F866EA">
        <w:trPr>
          <w:trHeight w:val="300"/>
        </w:trPr>
        <w:tc>
          <w:tcPr>
            <w:tcW w:w="2082" w:type="dxa"/>
            <w:tcBorders>
              <w:top w:val="nil"/>
              <w:left w:val="nil"/>
              <w:bottom w:val="nil"/>
              <w:right w:val="nil"/>
            </w:tcBorders>
            <w:shd w:val="clear" w:color="auto" w:fill="auto"/>
            <w:noWrap/>
            <w:vAlign w:val="bottom"/>
            <w:hideMark/>
          </w:tcPr>
          <w:p w14:paraId="6141703E" w14:textId="77777777" w:rsidR="00237D87" w:rsidRPr="0021398F" w:rsidRDefault="00237D87" w:rsidP="00237D87">
            <w:pPr>
              <w:spacing w:after="0" w:line="240" w:lineRule="auto"/>
              <w:jc w:val="left"/>
              <w:rPr>
                <w:color w:val="000000"/>
              </w:rPr>
            </w:pPr>
            <w:r w:rsidRPr="0021398F">
              <w:rPr>
                <w:color w:val="000000"/>
              </w:rPr>
              <w:t>Macedonia</w:t>
            </w:r>
          </w:p>
        </w:tc>
        <w:tc>
          <w:tcPr>
            <w:tcW w:w="1426" w:type="dxa"/>
            <w:tcBorders>
              <w:top w:val="nil"/>
              <w:left w:val="nil"/>
              <w:bottom w:val="nil"/>
              <w:right w:val="nil"/>
            </w:tcBorders>
            <w:shd w:val="clear" w:color="auto" w:fill="auto"/>
            <w:noWrap/>
            <w:vAlign w:val="bottom"/>
            <w:hideMark/>
          </w:tcPr>
          <w:p w14:paraId="267BD317" w14:textId="78CAA6B6" w:rsidR="00237D87" w:rsidRPr="00B071B7" w:rsidRDefault="00237D87" w:rsidP="00237D87">
            <w:pPr>
              <w:spacing w:after="0" w:line="240" w:lineRule="auto"/>
              <w:rPr>
                <w:color w:val="000000"/>
              </w:rPr>
            </w:pPr>
            <w:r>
              <w:rPr>
                <w:color w:val="000000"/>
              </w:rPr>
              <w:t>.81</w:t>
            </w:r>
          </w:p>
        </w:tc>
        <w:tc>
          <w:tcPr>
            <w:tcW w:w="1462" w:type="dxa"/>
            <w:tcBorders>
              <w:top w:val="nil"/>
              <w:left w:val="nil"/>
              <w:bottom w:val="nil"/>
              <w:right w:val="nil"/>
            </w:tcBorders>
            <w:shd w:val="clear" w:color="auto" w:fill="auto"/>
            <w:noWrap/>
            <w:vAlign w:val="bottom"/>
            <w:hideMark/>
          </w:tcPr>
          <w:p w14:paraId="775DE7A7" w14:textId="3C94D665" w:rsidR="00237D87" w:rsidRPr="00B071B7" w:rsidRDefault="00237D87" w:rsidP="00237D87">
            <w:pPr>
              <w:spacing w:after="0" w:line="240" w:lineRule="auto"/>
              <w:rPr>
                <w:color w:val="000000"/>
              </w:rPr>
            </w:pPr>
            <w:r>
              <w:rPr>
                <w:color w:val="000000"/>
              </w:rPr>
              <w:t>.49</w:t>
            </w:r>
          </w:p>
        </w:tc>
        <w:tc>
          <w:tcPr>
            <w:tcW w:w="1559" w:type="dxa"/>
            <w:tcBorders>
              <w:top w:val="nil"/>
              <w:left w:val="nil"/>
              <w:bottom w:val="nil"/>
              <w:right w:val="nil"/>
            </w:tcBorders>
            <w:shd w:val="clear" w:color="auto" w:fill="auto"/>
            <w:noWrap/>
            <w:vAlign w:val="center"/>
            <w:hideMark/>
          </w:tcPr>
          <w:p w14:paraId="688CEAC0" w14:textId="77777777" w:rsidR="00237D87" w:rsidRPr="00B071B7" w:rsidRDefault="00237D87" w:rsidP="00237D87">
            <w:pPr>
              <w:spacing w:after="0" w:line="240" w:lineRule="auto"/>
              <w:rPr>
                <w:color w:val="000000"/>
              </w:rPr>
            </w:pPr>
            <w:r w:rsidRPr="00B071B7">
              <w:rPr>
                <w:color w:val="000000"/>
              </w:rPr>
              <w:t>.48</w:t>
            </w:r>
          </w:p>
        </w:tc>
        <w:tc>
          <w:tcPr>
            <w:tcW w:w="1496" w:type="dxa"/>
            <w:tcBorders>
              <w:top w:val="nil"/>
              <w:left w:val="nil"/>
              <w:bottom w:val="nil"/>
              <w:right w:val="nil"/>
            </w:tcBorders>
            <w:shd w:val="clear" w:color="auto" w:fill="auto"/>
            <w:noWrap/>
            <w:vAlign w:val="bottom"/>
            <w:hideMark/>
          </w:tcPr>
          <w:p w14:paraId="0116B5F9" w14:textId="77777777" w:rsidR="00237D87" w:rsidRPr="00B071B7" w:rsidRDefault="00237D87" w:rsidP="00237D87">
            <w:pPr>
              <w:spacing w:after="0" w:line="240" w:lineRule="auto"/>
              <w:rPr>
                <w:color w:val="000000"/>
              </w:rPr>
            </w:pPr>
            <w:r w:rsidRPr="00B071B7">
              <w:rPr>
                <w:color w:val="000000"/>
              </w:rPr>
              <w:t>.48</w:t>
            </w:r>
          </w:p>
        </w:tc>
      </w:tr>
      <w:tr w:rsidR="00237D87" w:rsidRPr="00B071B7" w14:paraId="1DF17A7C" w14:textId="77777777" w:rsidTr="00F866EA">
        <w:trPr>
          <w:trHeight w:val="300"/>
        </w:trPr>
        <w:tc>
          <w:tcPr>
            <w:tcW w:w="2082" w:type="dxa"/>
            <w:tcBorders>
              <w:top w:val="nil"/>
              <w:left w:val="nil"/>
              <w:bottom w:val="nil"/>
              <w:right w:val="nil"/>
            </w:tcBorders>
            <w:shd w:val="clear" w:color="auto" w:fill="auto"/>
            <w:noWrap/>
            <w:vAlign w:val="bottom"/>
            <w:hideMark/>
          </w:tcPr>
          <w:p w14:paraId="135F69B2" w14:textId="77777777" w:rsidR="00237D87" w:rsidRPr="0021398F" w:rsidRDefault="00237D87" w:rsidP="00237D87">
            <w:pPr>
              <w:spacing w:after="0" w:line="240" w:lineRule="auto"/>
              <w:jc w:val="left"/>
              <w:rPr>
                <w:color w:val="000000"/>
              </w:rPr>
            </w:pPr>
            <w:r w:rsidRPr="0021398F">
              <w:rPr>
                <w:color w:val="000000"/>
              </w:rPr>
              <w:t>Malaysia</w:t>
            </w:r>
          </w:p>
        </w:tc>
        <w:tc>
          <w:tcPr>
            <w:tcW w:w="1426" w:type="dxa"/>
            <w:tcBorders>
              <w:top w:val="nil"/>
              <w:left w:val="nil"/>
              <w:bottom w:val="nil"/>
              <w:right w:val="nil"/>
            </w:tcBorders>
            <w:shd w:val="clear" w:color="auto" w:fill="auto"/>
            <w:noWrap/>
            <w:vAlign w:val="bottom"/>
            <w:hideMark/>
          </w:tcPr>
          <w:p w14:paraId="4E669E2A" w14:textId="4169D84B"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51CE9C8E" w14:textId="371DD5A2" w:rsidR="00237D87" w:rsidRPr="00B071B7" w:rsidRDefault="00237D87" w:rsidP="00237D87">
            <w:pPr>
              <w:spacing w:after="0" w:line="240" w:lineRule="auto"/>
              <w:rPr>
                <w:color w:val="000000"/>
              </w:rPr>
            </w:pPr>
            <w:r>
              <w:rPr>
                <w:color w:val="000000"/>
              </w:rPr>
              <w:t>.67</w:t>
            </w:r>
          </w:p>
        </w:tc>
        <w:tc>
          <w:tcPr>
            <w:tcW w:w="1559" w:type="dxa"/>
            <w:tcBorders>
              <w:top w:val="nil"/>
              <w:left w:val="nil"/>
              <w:bottom w:val="nil"/>
              <w:right w:val="nil"/>
            </w:tcBorders>
            <w:shd w:val="clear" w:color="auto" w:fill="auto"/>
            <w:noWrap/>
            <w:vAlign w:val="center"/>
            <w:hideMark/>
          </w:tcPr>
          <w:p w14:paraId="7E58D19E"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nil"/>
              <w:right w:val="nil"/>
            </w:tcBorders>
            <w:shd w:val="clear" w:color="auto" w:fill="auto"/>
            <w:noWrap/>
            <w:vAlign w:val="bottom"/>
            <w:hideMark/>
          </w:tcPr>
          <w:p w14:paraId="306E9907" w14:textId="77777777" w:rsidR="00237D87" w:rsidRPr="00B071B7" w:rsidRDefault="00237D87" w:rsidP="00237D87">
            <w:pPr>
              <w:spacing w:after="0" w:line="240" w:lineRule="auto"/>
              <w:rPr>
                <w:color w:val="000000"/>
              </w:rPr>
            </w:pPr>
            <w:r w:rsidRPr="00B071B7">
              <w:rPr>
                <w:color w:val="000000"/>
              </w:rPr>
              <w:t>.47</w:t>
            </w:r>
          </w:p>
        </w:tc>
      </w:tr>
      <w:tr w:rsidR="00237D87" w:rsidRPr="00B071B7" w14:paraId="3998B2F7" w14:textId="77777777" w:rsidTr="00F866EA">
        <w:trPr>
          <w:trHeight w:val="300"/>
        </w:trPr>
        <w:tc>
          <w:tcPr>
            <w:tcW w:w="2082" w:type="dxa"/>
            <w:tcBorders>
              <w:top w:val="nil"/>
              <w:left w:val="nil"/>
              <w:bottom w:val="nil"/>
              <w:right w:val="nil"/>
            </w:tcBorders>
            <w:shd w:val="clear" w:color="auto" w:fill="auto"/>
            <w:noWrap/>
            <w:vAlign w:val="bottom"/>
            <w:hideMark/>
          </w:tcPr>
          <w:p w14:paraId="53F4B1D3" w14:textId="77777777" w:rsidR="00237D87" w:rsidRPr="0021398F" w:rsidRDefault="00237D87" w:rsidP="00237D87">
            <w:pPr>
              <w:spacing w:after="0" w:line="240" w:lineRule="auto"/>
              <w:jc w:val="left"/>
              <w:rPr>
                <w:color w:val="000000"/>
              </w:rPr>
            </w:pPr>
            <w:r w:rsidRPr="0021398F">
              <w:rPr>
                <w:color w:val="000000"/>
              </w:rPr>
              <w:t>Mexico</w:t>
            </w:r>
          </w:p>
        </w:tc>
        <w:tc>
          <w:tcPr>
            <w:tcW w:w="1426" w:type="dxa"/>
            <w:tcBorders>
              <w:top w:val="nil"/>
              <w:left w:val="nil"/>
              <w:bottom w:val="nil"/>
              <w:right w:val="nil"/>
            </w:tcBorders>
            <w:shd w:val="clear" w:color="auto" w:fill="auto"/>
            <w:noWrap/>
            <w:vAlign w:val="bottom"/>
            <w:hideMark/>
          </w:tcPr>
          <w:p w14:paraId="6D56D021" w14:textId="2FB02673" w:rsidR="00237D87" w:rsidRPr="00B071B7" w:rsidRDefault="00237D87" w:rsidP="00237D87">
            <w:pPr>
              <w:spacing w:after="0" w:line="240" w:lineRule="auto"/>
              <w:rPr>
                <w:color w:val="000000"/>
              </w:rPr>
            </w:pPr>
            <w:r>
              <w:rPr>
                <w:color w:val="000000"/>
              </w:rPr>
              <w:t>.83</w:t>
            </w:r>
          </w:p>
        </w:tc>
        <w:tc>
          <w:tcPr>
            <w:tcW w:w="1462" w:type="dxa"/>
            <w:tcBorders>
              <w:top w:val="nil"/>
              <w:left w:val="nil"/>
              <w:bottom w:val="nil"/>
              <w:right w:val="nil"/>
            </w:tcBorders>
            <w:shd w:val="clear" w:color="auto" w:fill="auto"/>
            <w:noWrap/>
            <w:vAlign w:val="bottom"/>
            <w:hideMark/>
          </w:tcPr>
          <w:p w14:paraId="367B7215" w14:textId="3090064E" w:rsidR="00237D87" w:rsidRPr="00B071B7" w:rsidRDefault="00237D87" w:rsidP="00237D87">
            <w:pPr>
              <w:spacing w:after="0" w:line="240" w:lineRule="auto"/>
              <w:rPr>
                <w:color w:val="000000"/>
              </w:rPr>
            </w:pPr>
            <w:r>
              <w:rPr>
                <w:color w:val="000000"/>
              </w:rPr>
              <w:t>.59</w:t>
            </w:r>
          </w:p>
        </w:tc>
        <w:tc>
          <w:tcPr>
            <w:tcW w:w="1559" w:type="dxa"/>
            <w:tcBorders>
              <w:top w:val="nil"/>
              <w:left w:val="nil"/>
              <w:bottom w:val="nil"/>
              <w:right w:val="nil"/>
            </w:tcBorders>
            <w:shd w:val="clear" w:color="auto" w:fill="auto"/>
            <w:noWrap/>
            <w:vAlign w:val="center"/>
            <w:hideMark/>
          </w:tcPr>
          <w:p w14:paraId="38D45F47" w14:textId="77777777" w:rsidR="00237D87" w:rsidRPr="00B071B7" w:rsidRDefault="00237D87" w:rsidP="00237D87">
            <w:pPr>
              <w:spacing w:after="0" w:line="240" w:lineRule="auto"/>
              <w:rPr>
                <w:color w:val="000000"/>
              </w:rPr>
            </w:pPr>
            <w:r w:rsidRPr="00B071B7">
              <w:rPr>
                <w:color w:val="000000"/>
              </w:rPr>
              <w:t>.63</w:t>
            </w:r>
          </w:p>
        </w:tc>
        <w:tc>
          <w:tcPr>
            <w:tcW w:w="1496" w:type="dxa"/>
            <w:tcBorders>
              <w:top w:val="nil"/>
              <w:left w:val="nil"/>
              <w:bottom w:val="nil"/>
              <w:right w:val="nil"/>
            </w:tcBorders>
            <w:shd w:val="clear" w:color="auto" w:fill="auto"/>
            <w:noWrap/>
            <w:vAlign w:val="bottom"/>
            <w:hideMark/>
          </w:tcPr>
          <w:p w14:paraId="465803DB" w14:textId="77777777" w:rsidR="00237D87" w:rsidRPr="00B071B7" w:rsidRDefault="00237D87" w:rsidP="00237D87">
            <w:pPr>
              <w:spacing w:after="0" w:line="240" w:lineRule="auto"/>
              <w:rPr>
                <w:color w:val="000000"/>
              </w:rPr>
            </w:pPr>
            <w:r w:rsidRPr="00B071B7">
              <w:rPr>
                <w:color w:val="000000"/>
              </w:rPr>
              <w:t>.47</w:t>
            </w:r>
          </w:p>
        </w:tc>
      </w:tr>
      <w:tr w:rsidR="00237D87" w:rsidRPr="00B071B7" w14:paraId="25FC4464" w14:textId="77777777" w:rsidTr="00F866EA">
        <w:trPr>
          <w:trHeight w:val="300"/>
        </w:trPr>
        <w:tc>
          <w:tcPr>
            <w:tcW w:w="2082" w:type="dxa"/>
            <w:tcBorders>
              <w:top w:val="nil"/>
              <w:left w:val="nil"/>
              <w:bottom w:val="nil"/>
              <w:right w:val="nil"/>
            </w:tcBorders>
            <w:shd w:val="clear" w:color="auto" w:fill="auto"/>
            <w:noWrap/>
            <w:vAlign w:val="bottom"/>
            <w:hideMark/>
          </w:tcPr>
          <w:p w14:paraId="32166F5E" w14:textId="77777777" w:rsidR="00237D87" w:rsidRPr="0021398F" w:rsidRDefault="00237D87" w:rsidP="00237D87">
            <w:pPr>
              <w:spacing w:after="0" w:line="240" w:lineRule="auto"/>
              <w:jc w:val="left"/>
              <w:rPr>
                <w:color w:val="000000"/>
              </w:rPr>
            </w:pPr>
            <w:r w:rsidRPr="0021398F">
              <w:rPr>
                <w:color w:val="000000"/>
              </w:rPr>
              <w:t>Netherlands</w:t>
            </w:r>
          </w:p>
        </w:tc>
        <w:tc>
          <w:tcPr>
            <w:tcW w:w="1426" w:type="dxa"/>
            <w:tcBorders>
              <w:top w:val="nil"/>
              <w:left w:val="nil"/>
              <w:bottom w:val="nil"/>
              <w:right w:val="nil"/>
            </w:tcBorders>
            <w:shd w:val="clear" w:color="auto" w:fill="auto"/>
            <w:noWrap/>
            <w:vAlign w:val="bottom"/>
            <w:hideMark/>
          </w:tcPr>
          <w:p w14:paraId="21BB477C" w14:textId="40AEF70C" w:rsidR="00237D87" w:rsidRPr="00B071B7" w:rsidRDefault="00237D87" w:rsidP="00237D87">
            <w:pPr>
              <w:spacing w:after="0" w:line="240" w:lineRule="auto"/>
              <w:rPr>
                <w:color w:val="000000"/>
              </w:rPr>
            </w:pPr>
            <w:r>
              <w:rPr>
                <w:color w:val="000000"/>
              </w:rPr>
              <w:t>.84</w:t>
            </w:r>
          </w:p>
        </w:tc>
        <w:tc>
          <w:tcPr>
            <w:tcW w:w="1462" w:type="dxa"/>
            <w:tcBorders>
              <w:top w:val="nil"/>
              <w:left w:val="nil"/>
              <w:bottom w:val="nil"/>
              <w:right w:val="nil"/>
            </w:tcBorders>
            <w:shd w:val="clear" w:color="auto" w:fill="auto"/>
            <w:noWrap/>
            <w:vAlign w:val="bottom"/>
            <w:hideMark/>
          </w:tcPr>
          <w:p w14:paraId="28B22DD3" w14:textId="037010E4" w:rsidR="00237D87" w:rsidRPr="00B071B7" w:rsidRDefault="00237D87" w:rsidP="00237D87">
            <w:pPr>
              <w:spacing w:after="0" w:line="240" w:lineRule="auto"/>
              <w:rPr>
                <w:color w:val="000000"/>
              </w:rPr>
            </w:pPr>
            <w:r>
              <w:rPr>
                <w:color w:val="000000"/>
              </w:rPr>
              <w:t>.67</w:t>
            </w:r>
          </w:p>
        </w:tc>
        <w:tc>
          <w:tcPr>
            <w:tcW w:w="1559" w:type="dxa"/>
            <w:tcBorders>
              <w:top w:val="nil"/>
              <w:left w:val="nil"/>
              <w:bottom w:val="nil"/>
              <w:right w:val="nil"/>
            </w:tcBorders>
            <w:shd w:val="clear" w:color="auto" w:fill="auto"/>
            <w:noWrap/>
            <w:vAlign w:val="center"/>
            <w:hideMark/>
          </w:tcPr>
          <w:p w14:paraId="5694BFF5" w14:textId="77777777" w:rsidR="00237D87" w:rsidRPr="00B071B7" w:rsidRDefault="00237D87" w:rsidP="00237D87">
            <w:pPr>
              <w:spacing w:after="0" w:line="240" w:lineRule="auto"/>
              <w:rPr>
                <w:color w:val="000000"/>
              </w:rPr>
            </w:pPr>
            <w:r w:rsidRPr="00B071B7">
              <w:rPr>
                <w:color w:val="000000"/>
              </w:rPr>
              <w:t>.67</w:t>
            </w:r>
          </w:p>
        </w:tc>
        <w:tc>
          <w:tcPr>
            <w:tcW w:w="1496" w:type="dxa"/>
            <w:tcBorders>
              <w:top w:val="nil"/>
              <w:left w:val="nil"/>
              <w:bottom w:val="nil"/>
              <w:right w:val="nil"/>
            </w:tcBorders>
            <w:shd w:val="clear" w:color="auto" w:fill="auto"/>
            <w:noWrap/>
            <w:vAlign w:val="bottom"/>
            <w:hideMark/>
          </w:tcPr>
          <w:p w14:paraId="2394FEB6"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4448DEFA" w14:textId="77777777" w:rsidTr="00F866EA">
        <w:trPr>
          <w:trHeight w:val="300"/>
        </w:trPr>
        <w:tc>
          <w:tcPr>
            <w:tcW w:w="2082" w:type="dxa"/>
            <w:tcBorders>
              <w:top w:val="nil"/>
              <w:left w:val="nil"/>
              <w:bottom w:val="nil"/>
              <w:right w:val="nil"/>
            </w:tcBorders>
            <w:shd w:val="clear" w:color="auto" w:fill="auto"/>
            <w:noWrap/>
            <w:vAlign w:val="bottom"/>
            <w:hideMark/>
          </w:tcPr>
          <w:p w14:paraId="59D8739D" w14:textId="77777777" w:rsidR="00237D87" w:rsidRPr="0021398F" w:rsidRDefault="00237D87" w:rsidP="00237D87">
            <w:pPr>
              <w:spacing w:after="0" w:line="240" w:lineRule="auto"/>
              <w:jc w:val="left"/>
              <w:rPr>
                <w:color w:val="000000"/>
              </w:rPr>
            </w:pPr>
            <w:r w:rsidRPr="0021398F">
              <w:rPr>
                <w:color w:val="000000"/>
              </w:rPr>
              <w:t>New Zealand</w:t>
            </w:r>
          </w:p>
        </w:tc>
        <w:tc>
          <w:tcPr>
            <w:tcW w:w="1426" w:type="dxa"/>
            <w:tcBorders>
              <w:top w:val="nil"/>
              <w:left w:val="nil"/>
              <w:bottom w:val="nil"/>
              <w:right w:val="nil"/>
            </w:tcBorders>
            <w:shd w:val="clear" w:color="auto" w:fill="auto"/>
            <w:noWrap/>
            <w:vAlign w:val="bottom"/>
            <w:hideMark/>
          </w:tcPr>
          <w:p w14:paraId="5FD82C38" w14:textId="5CF639FB" w:rsidR="00237D87" w:rsidRPr="00B071B7" w:rsidRDefault="00237D87" w:rsidP="00237D87">
            <w:pPr>
              <w:spacing w:after="0" w:line="240" w:lineRule="auto"/>
              <w:rPr>
                <w:color w:val="000000"/>
              </w:rPr>
            </w:pPr>
            <w:r>
              <w:rPr>
                <w:color w:val="000000"/>
              </w:rPr>
              <w:t>.89</w:t>
            </w:r>
          </w:p>
        </w:tc>
        <w:tc>
          <w:tcPr>
            <w:tcW w:w="1462" w:type="dxa"/>
            <w:tcBorders>
              <w:top w:val="nil"/>
              <w:left w:val="nil"/>
              <w:bottom w:val="nil"/>
              <w:right w:val="nil"/>
            </w:tcBorders>
            <w:shd w:val="clear" w:color="auto" w:fill="auto"/>
            <w:noWrap/>
            <w:vAlign w:val="bottom"/>
            <w:hideMark/>
          </w:tcPr>
          <w:p w14:paraId="0325468D" w14:textId="4E7DFC68" w:rsidR="00237D87" w:rsidRPr="00B071B7" w:rsidRDefault="00237D87" w:rsidP="00237D87">
            <w:pPr>
              <w:spacing w:after="0" w:line="240" w:lineRule="auto"/>
              <w:rPr>
                <w:color w:val="000000"/>
              </w:rPr>
            </w:pPr>
            <w:r>
              <w:rPr>
                <w:color w:val="000000"/>
              </w:rPr>
              <w:t>.74</w:t>
            </w:r>
          </w:p>
        </w:tc>
        <w:tc>
          <w:tcPr>
            <w:tcW w:w="1559" w:type="dxa"/>
            <w:tcBorders>
              <w:top w:val="nil"/>
              <w:left w:val="nil"/>
              <w:bottom w:val="nil"/>
              <w:right w:val="nil"/>
            </w:tcBorders>
            <w:shd w:val="clear" w:color="auto" w:fill="auto"/>
            <w:noWrap/>
            <w:vAlign w:val="center"/>
            <w:hideMark/>
          </w:tcPr>
          <w:p w14:paraId="48103968" w14:textId="77777777" w:rsidR="00237D87" w:rsidRPr="00B071B7" w:rsidRDefault="00237D87" w:rsidP="00237D87">
            <w:pPr>
              <w:spacing w:after="0" w:line="240" w:lineRule="auto"/>
              <w:rPr>
                <w:color w:val="000000"/>
              </w:rPr>
            </w:pPr>
            <w:r w:rsidRPr="00B071B7">
              <w:rPr>
                <w:color w:val="000000"/>
              </w:rPr>
              <w:t>.77</w:t>
            </w:r>
          </w:p>
        </w:tc>
        <w:tc>
          <w:tcPr>
            <w:tcW w:w="1496" w:type="dxa"/>
            <w:tcBorders>
              <w:top w:val="nil"/>
              <w:left w:val="nil"/>
              <w:bottom w:val="nil"/>
              <w:right w:val="nil"/>
            </w:tcBorders>
            <w:shd w:val="clear" w:color="auto" w:fill="auto"/>
            <w:noWrap/>
            <w:vAlign w:val="bottom"/>
            <w:hideMark/>
          </w:tcPr>
          <w:p w14:paraId="31772EBD" w14:textId="77777777" w:rsidR="00237D87" w:rsidRPr="00B071B7" w:rsidRDefault="00237D87" w:rsidP="00237D87">
            <w:pPr>
              <w:spacing w:after="0" w:line="240" w:lineRule="auto"/>
              <w:rPr>
                <w:color w:val="000000"/>
              </w:rPr>
            </w:pPr>
            <w:r w:rsidRPr="00B071B7">
              <w:rPr>
                <w:color w:val="000000"/>
              </w:rPr>
              <w:t>.55</w:t>
            </w:r>
          </w:p>
        </w:tc>
      </w:tr>
      <w:tr w:rsidR="00237D87" w:rsidRPr="00B071B7" w14:paraId="24631BA3" w14:textId="77777777" w:rsidTr="00F866EA">
        <w:trPr>
          <w:trHeight w:val="300"/>
        </w:trPr>
        <w:tc>
          <w:tcPr>
            <w:tcW w:w="2082" w:type="dxa"/>
            <w:tcBorders>
              <w:top w:val="nil"/>
              <w:left w:val="nil"/>
              <w:bottom w:val="nil"/>
              <w:right w:val="nil"/>
            </w:tcBorders>
            <w:shd w:val="clear" w:color="auto" w:fill="auto"/>
            <w:noWrap/>
            <w:vAlign w:val="bottom"/>
            <w:hideMark/>
          </w:tcPr>
          <w:p w14:paraId="3A9F0040" w14:textId="77777777" w:rsidR="00237D87" w:rsidRPr="0021398F" w:rsidRDefault="00237D87" w:rsidP="00237D87">
            <w:pPr>
              <w:spacing w:after="0" w:line="240" w:lineRule="auto"/>
              <w:jc w:val="left"/>
              <w:rPr>
                <w:color w:val="000000"/>
              </w:rPr>
            </w:pPr>
            <w:r w:rsidRPr="0021398F">
              <w:rPr>
                <w:color w:val="000000"/>
              </w:rPr>
              <w:t>Nigeria</w:t>
            </w:r>
          </w:p>
        </w:tc>
        <w:tc>
          <w:tcPr>
            <w:tcW w:w="1426" w:type="dxa"/>
            <w:tcBorders>
              <w:top w:val="nil"/>
              <w:left w:val="nil"/>
              <w:bottom w:val="nil"/>
              <w:right w:val="nil"/>
            </w:tcBorders>
            <w:shd w:val="clear" w:color="auto" w:fill="auto"/>
            <w:noWrap/>
            <w:vAlign w:val="bottom"/>
            <w:hideMark/>
          </w:tcPr>
          <w:p w14:paraId="00D97284" w14:textId="46B11123" w:rsidR="00237D87" w:rsidRPr="00B071B7" w:rsidRDefault="00237D87" w:rsidP="00237D87">
            <w:pPr>
              <w:spacing w:after="0" w:line="240" w:lineRule="auto"/>
              <w:rPr>
                <w:color w:val="000000"/>
              </w:rPr>
            </w:pPr>
            <w:r>
              <w:rPr>
                <w:color w:val="000000"/>
              </w:rPr>
              <w:t>.86</w:t>
            </w:r>
          </w:p>
        </w:tc>
        <w:tc>
          <w:tcPr>
            <w:tcW w:w="1462" w:type="dxa"/>
            <w:tcBorders>
              <w:top w:val="nil"/>
              <w:left w:val="nil"/>
              <w:bottom w:val="nil"/>
              <w:right w:val="nil"/>
            </w:tcBorders>
            <w:shd w:val="clear" w:color="auto" w:fill="auto"/>
            <w:noWrap/>
            <w:vAlign w:val="bottom"/>
            <w:hideMark/>
          </w:tcPr>
          <w:p w14:paraId="310AEE92" w14:textId="52D8EC3B" w:rsidR="00237D87" w:rsidRPr="00B071B7" w:rsidRDefault="00237D87" w:rsidP="00237D87">
            <w:pPr>
              <w:spacing w:after="0" w:line="240" w:lineRule="auto"/>
              <w:rPr>
                <w:color w:val="000000"/>
              </w:rPr>
            </w:pPr>
            <w:r>
              <w:rPr>
                <w:color w:val="000000"/>
              </w:rPr>
              <w:t>.52</w:t>
            </w:r>
          </w:p>
        </w:tc>
        <w:tc>
          <w:tcPr>
            <w:tcW w:w="1559" w:type="dxa"/>
            <w:tcBorders>
              <w:top w:val="nil"/>
              <w:left w:val="nil"/>
              <w:bottom w:val="nil"/>
              <w:right w:val="nil"/>
            </w:tcBorders>
            <w:shd w:val="clear" w:color="auto" w:fill="auto"/>
            <w:noWrap/>
            <w:vAlign w:val="center"/>
            <w:hideMark/>
          </w:tcPr>
          <w:p w14:paraId="0B6F2EDC" w14:textId="77777777" w:rsidR="00237D87" w:rsidRPr="00B071B7" w:rsidRDefault="00237D87" w:rsidP="00237D87">
            <w:pPr>
              <w:spacing w:after="0" w:line="240" w:lineRule="auto"/>
              <w:rPr>
                <w:color w:val="000000"/>
              </w:rPr>
            </w:pPr>
            <w:r w:rsidRPr="00B071B7">
              <w:rPr>
                <w:color w:val="000000"/>
              </w:rPr>
              <w:t>.60</w:t>
            </w:r>
          </w:p>
        </w:tc>
        <w:tc>
          <w:tcPr>
            <w:tcW w:w="1496" w:type="dxa"/>
            <w:tcBorders>
              <w:top w:val="nil"/>
              <w:left w:val="nil"/>
              <w:bottom w:val="nil"/>
              <w:right w:val="nil"/>
            </w:tcBorders>
            <w:shd w:val="clear" w:color="auto" w:fill="auto"/>
            <w:noWrap/>
            <w:vAlign w:val="bottom"/>
            <w:hideMark/>
          </w:tcPr>
          <w:p w14:paraId="43656867" w14:textId="77777777" w:rsidR="00237D87" w:rsidRPr="00B071B7" w:rsidRDefault="00237D87" w:rsidP="00237D87">
            <w:pPr>
              <w:spacing w:after="0" w:line="240" w:lineRule="auto"/>
              <w:rPr>
                <w:color w:val="000000"/>
              </w:rPr>
            </w:pPr>
            <w:r w:rsidRPr="00B071B7">
              <w:rPr>
                <w:color w:val="000000"/>
              </w:rPr>
              <w:t>.52</w:t>
            </w:r>
          </w:p>
        </w:tc>
      </w:tr>
      <w:tr w:rsidR="00237D87" w:rsidRPr="00B071B7" w14:paraId="39562BC8" w14:textId="77777777" w:rsidTr="00F866EA">
        <w:trPr>
          <w:trHeight w:val="300"/>
        </w:trPr>
        <w:tc>
          <w:tcPr>
            <w:tcW w:w="2082" w:type="dxa"/>
            <w:tcBorders>
              <w:top w:val="nil"/>
              <w:left w:val="nil"/>
              <w:bottom w:val="nil"/>
              <w:right w:val="nil"/>
            </w:tcBorders>
            <w:shd w:val="clear" w:color="auto" w:fill="auto"/>
            <w:noWrap/>
            <w:vAlign w:val="bottom"/>
            <w:hideMark/>
          </w:tcPr>
          <w:p w14:paraId="092800B4" w14:textId="77777777" w:rsidR="00237D87" w:rsidRPr="0021398F" w:rsidRDefault="00237D87" w:rsidP="00237D87">
            <w:pPr>
              <w:spacing w:after="0" w:line="240" w:lineRule="auto"/>
              <w:jc w:val="left"/>
              <w:rPr>
                <w:color w:val="000000"/>
              </w:rPr>
            </w:pPr>
            <w:r w:rsidRPr="0021398F">
              <w:rPr>
                <w:color w:val="000000"/>
              </w:rPr>
              <w:t>Norway</w:t>
            </w:r>
          </w:p>
        </w:tc>
        <w:tc>
          <w:tcPr>
            <w:tcW w:w="1426" w:type="dxa"/>
            <w:tcBorders>
              <w:top w:val="nil"/>
              <w:left w:val="nil"/>
              <w:bottom w:val="nil"/>
              <w:right w:val="nil"/>
            </w:tcBorders>
            <w:shd w:val="clear" w:color="auto" w:fill="auto"/>
            <w:noWrap/>
            <w:vAlign w:val="bottom"/>
            <w:hideMark/>
          </w:tcPr>
          <w:p w14:paraId="5EAFAD9D" w14:textId="08513BDA"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14A45108" w14:textId="6F61B865" w:rsidR="00237D87" w:rsidRPr="00B071B7" w:rsidRDefault="00237D87" w:rsidP="00237D87">
            <w:pPr>
              <w:spacing w:after="0" w:line="240" w:lineRule="auto"/>
              <w:rPr>
                <w:color w:val="000000"/>
              </w:rPr>
            </w:pPr>
            <w:r>
              <w:rPr>
                <w:color w:val="000000"/>
              </w:rPr>
              <w:t>.65</w:t>
            </w:r>
          </w:p>
        </w:tc>
        <w:tc>
          <w:tcPr>
            <w:tcW w:w="1559" w:type="dxa"/>
            <w:tcBorders>
              <w:top w:val="nil"/>
              <w:left w:val="nil"/>
              <w:bottom w:val="nil"/>
              <w:right w:val="nil"/>
            </w:tcBorders>
            <w:shd w:val="clear" w:color="auto" w:fill="auto"/>
            <w:noWrap/>
            <w:vAlign w:val="center"/>
            <w:hideMark/>
          </w:tcPr>
          <w:p w14:paraId="7EC55015" w14:textId="77777777" w:rsidR="00237D87" w:rsidRPr="00B071B7" w:rsidRDefault="00237D87" w:rsidP="00237D87">
            <w:pPr>
              <w:spacing w:after="0" w:line="240" w:lineRule="auto"/>
              <w:rPr>
                <w:color w:val="000000"/>
              </w:rPr>
            </w:pPr>
            <w:r w:rsidRPr="00B071B7">
              <w:rPr>
                <w:color w:val="000000"/>
              </w:rPr>
              <w:t>.63</w:t>
            </w:r>
          </w:p>
        </w:tc>
        <w:tc>
          <w:tcPr>
            <w:tcW w:w="1496" w:type="dxa"/>
            <w:tcBorders>
              <w:top w:val="nil"/>
              <w:left w:val="nil"/>
              <w:bottom w:val="nil"/>
              <w:right w:val="nil"/>
            </w:tcBorders>
            <w:shd w:val="clear" w:color="auto" w:fill="auto"/>
            <w:noWrap/>
            <w:vAlign w:val="bottom"/>
            <w:hideMark/>
          </w:tcPr>
          <w:p w14:paraId="729E2DF6" w14:textId="77777777" w:rsidR="00237D87" w:rsidRPr="00B071B7" w:rsidRDefault="00237D87" w:rsidP="00237D87">
            <w:pPr>
              <w:spacing w:after="0" w:line="240" w:lineRule="auto"/>
              <w:rPr>
                <w:color w:val="000000"/>
              </w:rPr>
            </w:pPr>
            <w:r w:rsidRPr="00B071B7">
              <w:rPr>
                <w:color w:val="000000"/>
              </w:rPr>
              <w:t>.50</w:t>
            </w:r>
          </w:p>
        </w:tc>
      </w:tr>
      <w:tr w:rsidR="00237D87" w:rsidRPr="00B071B7" w14:paraId="1029292C" w14:textId="77777777" w:rsidTr="00F866EA">
        <w:trPr>
          <w:trHeight w:val="300"/>
        </w:trPr>
        <w:tc>
          <w:tcPr>
            <w:tcW w:w="2082" w:type="dxa"/>
            <w:tcBorders>
              <w:top w:val="nil"/>
              <w:left w:val="nil"/>
              <w:bottom w:val="nil"/>
              <w:right w:val="nil"/>
            </w:tcBorders>
            <w:shd w:val="clear" w:color="auto" w:fill="auto"/>
            <w:noWrap/>
            <w:vAlign w:val="bottom"/>
            <w:hideMark/>
          </w:tcPr>
          <w:p w14:paraId="39DA6369" w14:textId="77777777" w:rsidR="00237D87" w:rsidRPr="0021398F" w:rsidRDefault="00237D87" w:rsidP="00237D87">
            <w:pPr>
              <w:spacing w:after="0" w:line="240" w:lineRule="auto"/>
              <w:jc w:val="left"/>
              <w:rPr>
                <w:color w:val="000000"/>
              </w:rPr>
            </w:pPr>
            <w:r w:rsidRPr="0021398F">
              <w:rPr>
                <w:color w:val="000000"/>
              </w:rPr>
              <w:t>Pakistan</w:t>
            </w:r>
          </w:p>
        </w:tc>
        <w:tc>
          <w:tcPr>
            <w:tcW w:w="1426" w:type="dxa"/>
            <w:tcBorders>
              <w:top w:val="nil"/>
              <w:left w:val="nil"/>
              <w:bottom w:val="nil"/>
              <w:right w:val="nil"/>
            </w:tcBorders>
            <w:shd w:val="clear" w:color="auto" w:fill="auto"/>
            <w:noWrap/>
            <w:vAlign w:val="bottom"/>
            <w:hideMark/>
          </w:tcPr>
          <w:p w14:paraId="0A247F20" w14:textId="399BEBCC" w:rsidR="00237D87" w:rsidRPr="00B071B7" w:rsidRDefault="00237D87" w:rsidP="00237D87">
            <w:pPr>
              <w:spacing w:after="0" w:line="240" w:lineRule="auto"/>
              <w:rPr>
                <w:color w:val="000000"/>
              </w:rPr>
            </w:pPr>
            <w:r>
              <w:rPr>
                <w:color w:val="000000"/>
              </w:rPr>
              <w:t>.77</w:t>
            </w:r>
          </w:p>
        </w:tc>
        <w:tc>
          <w:tcPr>
            <w:tcW w:w="1462" w:type="dxa"/>
            <w:tcBorders>
              <w:top w:val="nil"/>
              <w:left w:val="nil"/>
              <w:bottom w:val="nil"/>
              <w:right w:val="nil"/>
            </w:tcBorders>
            <w:shd w:val="clear" w:color="auto" w:fill="auto"/>
            <w:noWrap/>
            <w:vAlign w:val="bottom"/>
            <w:hideMark/>
          </w:tcPr>
          <w:p w14:paraId="352DA925" w14:textId="7F47947D" w:rsidR="00237D87" w:rsidRPr="00B071B7" w:rsidRDefault="00237D87" w:rsidP="00237D87">
            <w:pPr>
              <w:spacing w:after="0" w:line="240" w:lineRule="auto"/>
              <w:rPr>
                <w:color w:val="000000"/>
              </w:rPr>
            </w:pPr>
            <w:r>
              <w:rPr>
                <w:color w:val="000000"/>
              </w:rPr>
              <w:t>.52</w:t>
            </w:r>
          </w:p>
        </w:tc>
        <w:tc>
          <w:tcPr>
            <w:tcW w:w="1559" w:type="dxa"/>
            <w:tcBorders>
              <w:top w:val="nil"/>
              <w:left w:val="nil"/>
              <w:bottom w:val="nil"/>
              <w:right w:val="nil"/>
            </w:tcBorders>
            <w:shd w:val="clear" w:color="auto" w:fill="auto"/>
            <w:noWrap/>
            <w:vAlign w:val="center"/>
            <w:hideMark/>
          </w:tcPr>
          <w:p w14:paraId="33BEC4F6" w14:textId="77777777" w:rsidR="00237D87" w:rsidRPr="00B071B7" w:rsidRDefault="00237D87" w:rsidP="00237D87">
            <w:pPr>
              <w:spacing w:after="0" w:line="240" w:lineRule="auto"/>
              <w:rPr>
                <w:color w:val="000000"/>
              </w:rPr>
            </w:pPr>
            <w:r w:rsidRPr="00B071B7">
              <w:rPr>
                <w:color w:val="000000"/>
              </w:rPr>
              <w:t>.59</w:t>
            </w:r>
          </w:p>
        </w:tc>
        <w:tc>
          <w:tcPr>
            <w:tcW w:w="1496" w:type="dxa"/>
            <w:tcBorders>
              <w:top w:val="nil"/>
              <w:left w:val="nil"/>
              <w:bottom w:val="nil"/>
              <w:right w:val="nil"/>
            </w:tcBorders>
            <w:shd w:val="clear" w:color="auto" w:fill="auto"/>
            <w:noWrap/>
            <w:vAlign w:val="bottom"/>
            <w:hideMark/>
          </w:tcPr>
          <w:p w14:paraId="3896E703" w14:textId="77777777" w:rsidR="00237D87" w:rsidRPr="00B071B7" w:rsidRDefault="00237D87" w:rsidP="00237D87">
            <w:pPr>
              <w:spacing w:after="0" w:line="240" w:lineRule="auto"/>
              <w:rPr>
                <w:color w:val="000000"/>
              </w:rPr>
            </w:pPr>
            <w:r w:rsidRPr="00B071B7">
              <w:rPr>
                <w:color w:val="000000"/>
              </w:rPr>
              <w:t>.36</w:t>
            </w:r>
          </w:p>
        </w:tc>
      </w:tr>
      <w:tr w:rsidR="00237D87" w:rsidRPr="00B071B7" w14:paraId="2B3F69F4" w14:textId="77777777" w:rsidTr="00F866EA">
        <w:trPr>
          <w:trHeight w:val="300"/>
        </w:trPr>
        <w:tc>
          <w:tcPr>
            <w:tcW w:w="2082" w:type="dxa"/>
            <w:tcBorders>
              <w:top w:val="nil"/>
              <w:left w:val="nil"/>
              <w:bottom w:val="nil"/>
              <w:right w:val="nil"/>
            </w:tcBorders>
            <w:shd w:val="clear" w:color="auto" w:fill="auto"/>
            <w:noWrap/>
            <w:vAlign w:val="bottom"/>
            <w:hideMark/>
          </w:tcPr>
          <w:p w14:paraId="161D309D" w14:textId="77777777" w:rsidR="00237D87" w:rsidRPr="0021398F" w:rsidRDefault="00237D87" w:rsidP="00237D87">
            <w:pPr>
              <w:spacing w:after="0" w:line="240" w:lineRule="auto"/>
              <w:jc w:val="left"/>
              <w:rPr>
                <w:color w:val="000000"/>
              </w:rPr>
            </w:pPr>
            <w:r w:rsidRPr="0021398F">
              <w:rPr>
                <w:color w:val="000000"/>
              </w:rPr>
              <w:t>Palestine</w:t>
            </w:r>
          </w:p>
        </w:tc>
        <w:tc>
          <w:tcPr>
            <w:tcW w:w="1426" w:type="dxa"/>
            <w:tcBorders>
              <w:top w:val="nil"/>
              <w:left w:val="nil"/>
              <w:bottom w:val="nil"/>
              <w:right w:val="nil"/>
            </w:tcBorders>
            <w:shd w:val="clear" w:color="auto" w:fill="auto"/>
            <w:noWrap/>
            <w:vAlign w:val="bottom"/>
            <w:hideMark/>
          </w:tcPr>
          <w:p w14:paraId="78DEB047" w14:textId="19701631" w:rsidR="00237D87" w:rsidRPr="00B071B7" w:rsidRDefault="00237D87" w:rsidP="00237D87">
            <w:pPr>
              <w:spacing w:after="0" w:line="240" w:lineRule="auto"/>
              <w:rPr>
                <w:color w:val="000000"/>
              </w:rPr>
            </w:pPr>
            <w:r>
              <w:rPr>
                <w:color w:val="000000"/>
              </w:rPr>
              <w:t>.83</w:t>
            </w:r>
          </w:p>
        </w:tc>
        <w:tc>
          <w:tcPr>
            <w:tcW w:w="1462" w:type="dxa"/>
            <w:tcBorders>
              <w:top w:val="nil"/>
              <w:left w:val="nil"/>
              <w:bottom w:val="nil"/>
              <w:right w:val="nil"/>
            </w:tcBorders>
            <w:shd w:val="clear" w:color="auto" w:fill="auto"/>
            <w:noWrap/>
            <w:vAlign w:val="bottom"/>
            <w:hideMark/>
          </w:tcPr>
          <w:p w14:paraId="121D8B4F" w14:textId="611502A3" w:rsidR="00237D87" w:rsidRPr="00B071B7" w:rsidRDefault="00237D87" w:rsidP="00237D87">
            <w:pPr>
              <w:spacing w:after="0" w:line="240" w:lineRule="auto"/>
              <w:rPr>
                <w:color w:val="000000"/>
              </w:rPr>
            </w:pPr>
            <w:r>
              <w:rPr>
                <w:color w:val="000000"/>
              </w:rPr>
              <w:t>.64</w:t>
            </w:r>
          </w:p>
        </w:tc>
        <w:tc>
          <w:tcPr>
            <w:tcW w:w="1559" w:type="dxa"/>
            <w:tcBorders>
              <w:top w:val="nil"/>
              <w:left w:val="nil"/>
              <w:bottom w:val="nil"/>
              <w:right w:val="nil"/>
            </w:tcBorders>
            <w:shd w:val="clear" w:color="auto" w:fill="auto"/>
            <w:noWrap/>
            <w:vAlign w:val="center"/>
            <w:hideMark/>
          </w:tcPr>
          <w:p w14:paraId="1275FE63" w14:textId="77777777" w:rsidR="00237D87" w:rsidRPr="00B071B7" w:rsidRDefault="00237D87" w:rsidP="00237D87">
            <w:pPr>
              <w:spacing w:after="0" w:line="240" w:lineRule="auto"/>
              <w:rPr>
                <w:color w:val="000000"/>
              </w:rPr>
            </w:pPr>
            <w:r w:rsidRPr="00B071B7">
              <w:rPr>
                <w:color w:val="000000"/>
              </w:rPr>
              <w:t>.59</w:t>
            </w:r>
          </w:p>
        </w:tc>
        <w:tc>
          <w:tcPr>
            <w:tcW w:w="1496" w:type="dxa"/>
            <w:tcBorders>
              <w:top w:val="nil"/>
              <w:left w:val="nil"/>
              <w:bottom w:val="nil"/>
              <w:right w:val="nil"/>
            </w:tcBorders>
            <w:shd w:val="clear" w:color="auto" w:fill="auto"/>
            <w:noWrap/>
            <w:vAlign w:val="bottom"/>
            <w:hideMark/>
          </w:tcPr>
          <w:p w14:paraId="53ACE7A4" w14:textId="77777777" w:rsidR="00237D87" w:rsidRPr="00B071B7" w:rsidRDefault="00237D87" w:rsidP="00237D87">
            <w:pPr>
              <w:spacing w:after="0" w:line="240" w:lineRule="auto"/>
              <w:rPr>
                <w:color w:val="000000"/>
              </w:rPr>
            </w:pPr>
            <w:r w:rsidRPr="00B071B7">
              <w:rPr>
                <w:color w:val="000000"/>
              </w:rPr>
              <w:t>.45</w:t>
            </w:r>
          </w:p>
        </w:tc>
      </w:tr>
      <w:tr w:rsidR="00237D87" w:rsidRPr="00B071B7" w14:paraId="11683ED7" w14:textId="77777777" w:rsidTr="00F866EA">
        <w:trPr>
          <w:trHeight w:val="300"/>
        </w:trPr>
        <w:tc>
          <w:tcPr>
            <w:tcW w:w="2082" w:type="dxa"/>
            <w:tcBorders>
              <w:top w:val="nil"/>
              <w:left w:val="nil"/>
              <w:bottom w:val="nil"/>
              <w:right w:val="nil"/>
            </w:tcBorders>
            <w:shd w:val="clear" w:color="auto" w:fill="auto"/>
            <w:noWrap/>
            <w:vAlign w:val="bottom"/>
            <w:hideMark/>
          </w:tcPr>
          <w:p w14:paraId="3AD07448" w14:textId="77777777" w:rsidR="00237D87" w:rsidRPr="0021398F" w:rsidRDefault="00237D87" w:rsidP="00237D87">
            <w:pPr>
              <w:spacing w:after="0" w:line="240" w:lineRule="auto"/>
              <w:jc w:val="left"/>
              <w:rPr>
                <w:color w:val="000000"/>
              </w:rPr>
            </w:pPr>
            <w:r w:rsidRPr="0021398F">
              <w:rPr>
                <w:color w:val="000000"/>
              </w:rPr>
              <w:t>Peru</w:t>
            </w:r>
          </w:p>
        </w:tc>
        <w:tc>
          <w:tcPr>
            <w:tcW w:w="1426" w:type="dxa"/>
            <w:tcBorders>
              <w:top w:val="nil"/>
              <w:left w:val="nil"/>
              <w:bottom w:val="nil"/>
              <w:right w:val="nil"/>
            </w:tcBorders>
            <w:shd w:val="clear" w:color="auto" w:fill="auto"/>
            <w:noWrap/>
            <w:vAlign w:val="bottom"/>
            <w:hideMark/>
          </w:tcPr>
          <w:p w14:paraId="6A09C24C" w14:textId="115FD684" w:rsidR="00237D87" w:rsidRPr="00B071B7" w:rsidRDefault="00237D87" w:rsidP="00237D87">
            <w:pPr>
              <w:spacing w:after="0" w:line="240" w:lineRule="auto"/>
              <w:rPr>
                <w:color w:val="000000"/>
              </w:rPr>
            </w:pPr>
            <w:r>
              <w:rPr>
                <w:color w:val="000000"/>
              </w:rPr>
              <w:t>.90</w:t>
            </w:r>
          </w:p>
        </w:tc>
        <w:tc>
          <w:tcPr>
            <w:tcW w:w="1462" w:type="dxa"/>
            <w:tcBorders>
              <w:top w:val="nil"/>
              <w:left w:val="nil"/>
              <w:bottom w:val="nil"/>
              <w:right w:val="nil"/>
            </w:tcBorders>
            <w:shd w:val="clear" w:color="auto" w:fill="auto"/>
            <w:noWrap/>
            <w:vAlign w:val="bottom"/>
            <w:hideMark/>
          </w:tcPr>
          <w:p w14:paraId="136FDD24" w14:textId="3C722CDC" w:rsidR="00237D87" w:rsidRPr="00B071B7" w:rsidRDefault="00237D87" w:rsidP="00237D87">
            <w:pPr>
              <w:spacing w:after="0" w:line="240" w:lineRule="auto"/>
              <w:rPr>
                <w:color w:val="000000"/>
              </w:rPr>
            </w:pPr>
            <w:r>
              <w:rPr>
                <w:color w:val="000000"/>
              </w:rPr>
              <w:t>.70</w:t>
            </w:r>
          </w:p>
        </w:tc>
        <w:tc>
          <w:tcPr>
            <w:tcW w:w="1559" w:type="dxa"/>
            <w:tcBorders>
              <w:top w:val="nil"/>
              <w:left w:val="nil"/>
              <w:bottom w:val="nil"/>
              <w:right w:val="nil"/>
            </w:tcBorders>
            <w:shd w:val="clear" w:color="auto" w:fill="auto"/>
            <w:noWrap/>
            <w:vAlign w:val="center"/>
            <w:hideMark/>
          </w:tcPr>
          <w:p w14:paraId="45836766"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nil"/>
              <w:right w:val="nil"/>
            </w:tcBorders>
            <w:shd w:val="clear" w:color="auto" w:fill="auto"/>
            <w:noWrap/>
            <w:vAlign w:val="bottom"/>
            <w:hideMark/>
          </w:tcPr>
          <w:p w14:paraId="5D228C2B" w14:textId="77777777" w:rsidR="00237D87" w:rsidRPr="00B071B7" w:rsidRDefault="00237D87" w:rsidP="00237D87">
            <w:pPr>
              <w:spacing w:after="0" w:line="240" w:lineRule="auto"/>
              <w:rPr>
                <w:color w:val="000000"/>
              </w:rPr>
            </w:pPr>
            <w:r w:rsidRPr="00B071B7">
              <w:rPr>
                <w:color w:val="000000"/>
              </w:rPr>
              <w:t>.58</w:t>
            </w:r>
          </w:p>
        </w:tc>
      </w:tr>
      <w:tr w:rsidR="00237D87" w:rsidRPr="00B071B7" w14:paraId="08A6F2F7" w14:textId="77777777" w:rsidTr="00F866EA">
        <w:trPr>
          <w:trHeight w:val="300"/>
        </w:trPr>
        <w:tc>
          <w:tcPr>
            <w:tcW w:w="2082" w:type="dxa"/>
            <w:tcBorders>
              <w:top w:val="nil"/>
              <w:left w:val="nil"/>
              <w:bottom w:val="nil"/>
              <w:right w:val="nil"/>
            </w:tcBorders>
            <w:shd w:val="clear" w:color="auto" w:fill="auto"/>
            <w:noWrap/>
            <w:vAlign w:val="bottom"/>
            <w:hideMark/>
          </w:tcPr>
          <w:p w14:paraId="673F8330" w14:textId="77777777" w:rsidR="00237D87" w:rsidRPr="0021398F" w:rsidRDefault="00237D87" w:rsidP="00237D87">
            <w:pPr>
              <w:spacing w:after="0" w:line="240" w:lineRule="auto"/>
              <w:jc w:val="left"/>
              <w:rPr>
                <w:color w:val="000000"/>
              </w:rPr>
            </w:pPr>
            <w:r w:rsidRPr="0021398F">
              <w:rPr>
                <w:color w:val="000000"/>
              </w:rPr>
              <w:t>Philippines</w:t>
            </w:r>
          </w:p>
        </w:tc>
        <w:tc>
          <w:tcPr>
            <w:tcW w:w="1426" w:type="dxa"/>
            <w:tcBorders>
              <w:top w:val="nil"/>
              <w:left w:val="nil"/>
              <w:bottom w:val="nil"/>
              <w:right w:val="nil"/>
            </w:tcBorders>
            <w:shd w:val="clear" w:color="auto" w:fill="auto"/>
            <w:noWrap/>
            <w:vAlign w:val="bottom"/>
            <w:hideMark/>
          </w:tcPr>
          <w:p w14:paraId="0A98B46A" w14:textId="5820FA5B"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1F4DF02C" w14:textId="59F01ACA" w:rsidR="00237D87" w:rsidRPr="00B071B7" w:rsidRDefault="00237D87" w:rsidP="00237D87">
            <w:pPr>
              <w:spacing w:after="0" w:line="240" w:lineRule="auto"/>
              <w:rPr>
                <w:color w:val="000000"/>
              </w:rPr>
            </w:pPr>
            <w:r>
              <w:rPr>
                <w:color w:val="000000"/>
              </w:rPr>
              <w:t>.59</w:t>
            </w:r>
          </w:p>
        </w:tc>
        <w:tc>
          <w:tcPr>
            <w:tcW w:w="1559" w:type="dxa"/>
            <w:tcBorders>
              <w:top w:val="nil"/>
              <w:left w:val="nil"/>
              <w:bottom w:val="nil"/>
              <w:right w:val="nil"/>
            </w:tcBorders>
            <w:shd w:val="clear" w:color="auto" w:fill="auto"/>
            <w:noWrap/>
            <w:vAlign w:val="center"/>
            <w:hideMark/>
          </w:tcPr>
          <w:p w14:paraId="0C037B2A" w14:textId="77777777" w:rsidR="00237D87" w:rsidRPr="00B071B7" w:rsidRDefault="00237D87" w:rsidP="00237D87">
            <w:pPr>
              <w:spacing w:after="0" w:line="240" w:lineRule="auto"/>
              <w:rPr>
                <w:color w:val="000000"/>
              </w:rPr>
            </w:pPr>
            <w:r w:rsidRPr="00B071B7">
              <w:rPr>
                <w:color w:val="000000"/>
              </w:rPr>
              <w:t>.66</w:t>
            </w:r>
          </w:p>
        </w:tc>
        <w:tc>
          <w:tcPr>
            <w:tcW w:w="1496" w:type="dxa"/>
            <w:tcBorders>
              <w:top w:val="nil"/>
              <w:left w:val="nil"/>
              <w:bottom w:val="nil"/>
              <w:right w:val="nil"/>
            </w:tcBorders>
            <w:shd w:val="clear" w:color="auto" w:fill="auto"/>
            <w:noWrap/>
            <w:vAlign w:val="bottom"/>
            <w:hideMark/>
          </w:tcPr>
          <w:p w14:paraId="7C98B00E" w14:textId="77777777" w:rsidR="00237D87" w:rsidRPr="00B071B7" w:rsidRDefault="00237D87" w:rsidP="00237D87">
            <w:pPr>
              <w:spacing w:after="0" w:line="240" w:lineRule="auto"/>
              <w:rPr>
                <w:color w:val="000000"/>
              </w:rPr>
            </w:pPr>
            <w:r w:rsidRPr="00B071B7">
              <w:rPr>
                <w:color w:val="000000"/>
              </w:rPr>
              <w:t>.48</w:t>
            </w:r>
          </w:p>
        </w:tc>
      </w:tr>
      <w:tr w:rsidR="00237D87" w:rsidRPr="00B071B7" w14:paraId="77A60F63" w14:textId="77777777" w:rsidTr="00F866EA">
        <w:trPr>
          <w:trHeight w:val="300"/>
        </w:trPr>
        <w:tc>
          <w:tcPr>
            <w:tcW w:w="2082" w:type="dxa"/>
            <w:tcBorders>
              <w:top w:val="nil"/>
              <w:left w:val="nil"/>
              <w:bottom w:val="nil"/>
              <w:right w:val="nil"/>
            </w:tcBorders>
            <w:shd w:val="clear" w:color="auto" w:fill="auto"/>
            <w:noWrap/>
            <w:vAlign w:val="bottom"/>
            <w:hideMark/>
          </w:tcPr>
          <w:p w14:paraId="07C3942C" w14:textId="77777777" w:rsidR="00237D87" w:rsidRPr="0021398F" w:rsidRDefault="00237D87" w:rsidP="00237D87">
            <w:pPr>
              <w:spacing w:after="0" w:line="240" w:lineRule="auto"/>
              <w:jc w:val="left"/>
              <w:rPr>
                <w:color w:val="000000"/>
              </w:rPr>
            </w:pPr>
            <w:r w:rsidRPr="0021398F">
              <w:rPr>
                <w:color w:val="000000"/>
              </w:rPr>
              <w:lastRenderedPageBreak/>
              <w:t>Poland</w:t>
            </w:r>
          </w:p>
        </w:tc>
        <w:tc>
          <w:tcPr>
            <w:tcW w:w="1426" w:type="dxa"/>
            <w:tcBorders>
              <w:top w:val="nil"/>
              <w:left w:val="nil"/>
              <w:bottom w:val="nil"/>
              <w:right w:val="nil"/>
            </w:tcBorders>
            <w:shd w:val="clear" w:color="auto" w:fill="auto"/>
            <w:noWrap/>
            <w:vAlign w:val="bottom"/>
            <w:hideMark/>
          </w:tcPr>
          <w:p w14:paraId="7518166D" w14:textId="735357B9" w:rsidR="00237D87" w:rsidRPr="00B071B7" w:rsidRDefault="00237D87" w:rsidP="00237D87">
            <w:pPr>
              <w:spacing w:after="0" w:line="240" w:lineRule="auto"/>
              <w:rPr>
                <w:color w:val="000000"/>
              </w:rPr>
            </w:pPr>
            <w:r>
              <w:rPr>
                <w:color w:val="000000"/>
              </w:rPr>
              <w:t>.84</w:t>
            </w:r>
          </w:p>
        </w:tc>
        <w:tc>
          <w:tcPr>
            <w:tcW w:w="1462" w:type="dxa"/>
            <w:tcBorders>
              <w:top w:val="nil"/>
              <w:left w:val="nil"/>
              <w:bottom w:val="nil"/>
              <w:right w:val="nil"/>
            </w:tcBorders>
            <w:shd w:val="clear" w:color="auto" w:fill="auto"/>
            <w:noWrap/>
            <w:vAlign w:val="bottom"/>
            <w:hideMark/>
          </w:tcPr>
          <w:p w14:paraId="38214783" w14:textId="28ED4AEA" w:rsidR="00237D87" w:rsidRPr="00B071B7" w:rsidRDefault="00237D87" w:rsidP="00237D87">
            <w:pPr>
              <w:spacing w:after="0" w:line="240" w:lineRule="auto"/>
              <w:rPr>
                <w:color w:val="000000"/>
              </w:rPr>
            </w:pPr>
            <w:r>
              <w:rPr>
                <w:color w:val="000000"/>
              </w:rPr>
              <w:t>.64</w:t>
            </w:r>
          </w:p>
        </w:tc>
        <w:tc>
          <w:tcPr>
            <w:tcW w:w="1559" w:type="dxa"/>
            <w:tcBorders>
              <w:top w:val="nil"/>
              <w:left w:val="nil"/>
              <w:bottom w:val="nil"/>
              <w:right w:val="nil"/>
            </w:tcBorders>
            <w:shd w:val="clear" w:color="auto" w:fill="auto"/>
            <w:noWrap/>
            <w:vAlign w:val="center"/>
            <w:hideMark/>
          </w:tcPr>
          <w:p w14:paraId="6FC1466D" w14:textId="77777777" w:rsidR="00237D87" w:rsidRPr="00B071B7" w:rsidRDefault="00237D87" w:rsidP="00237D87">
            <w:pPr>
              <w:spacing w:after="0" w:line="240" w:lineRule="auto"/>
              <w:rPr>
                <w:color w:val="000000"/>
              </w:rPr>
            </w:pPr>
            <w:r w:rsidRPr="00B071B7">
              <w:rPr>
                <w:color w:val="000000"/>
              </w:rPr>
              <w:t>.62</w:t>
            </w:r>
          </w:p>
        </w:tc>
        <w:tc>
          <w:tcPr>
            <w:tcW w:w="1496" w:type="dxa"/>
            <w:tcBorders>
              <w:top w:val="nil"/>
              <w:left w:val="nil"/>
              <w:bottom w:val="nil"/>
              <w:right w:val="nil"/>
            </w:tcBorders>
            <w:shd w:val="clear" w:color="auto" w:fill="auto"/>
            <w:noWrap/>
            <w:vAlign w:val="bottom"/>
            <w:hideMark/>
          </w:tcPr>
          <w:p w14:paraId="64B7BBA2" w14:textId="77777777" w:rsidR="00237D87" w:rsidRPr="00B071B7" w:rsidRDefault="00237D87" w:rsidP="00237D87">
            <w:pPr>
              <w:spacing w:after="0" w:line="240" w:lineRule="auto"/>
              <w:rPr>
                <w:color w:val="000000"/>
              </w:rPr>
            </w:pPr>
            <w:r w:rsidRPr="00B071B7">
              <w:rPr>
                <w:color w:val="000000"/>
              </w:rPr>
              <w:t>.47</w:t>
            </w:r>
          </w:p>
        </w:tc>
      </w:tr>
      <w:tr w:rsidR="00237D87" w:rsidRPr="00B071B7" w14:paraId="1BAE0EA7" w14:textId="77777777" w:rsidTr="00F866EA">
        <w:trPr>
          <w:trHeight w:val="300"/>
        </w:trPr>
        <w:tc>
          <w:tcPr>
            <w:tcW w:w="2082" w:type="dxa"/>
            <w:tcBorders>
              <w:top w:val="nil"/>
              <w:left w:val="nil"/>
              <w:bottom w:val="nil"/>
              <w:right w:val="nil"/>
            </w:tcBorders>
            <w:shd w:val="clear" w:color="auto" w:fill="auto"/>
            <w:noWrap/>
            <w:vAlign w:val="bottom"/>
            <w:hideMark/>
          </w:tcPr>
          <w:p w14:paraId="38A94B7E" w14:textId="77777777" w:rsidR="00237D87" w:rsidRPr="0021398F" w:rsidRDefault="00237D87" w:rsidP="00237D87">
            <w:pPr>
              <w:spacing w:after="0" w:line="240" w:lineRule="auto"/>
              <w:jc w:val="left"/>
              <w:rPr>
                <w:color w:val="000000"/>
              </w:rPr>
            </w:pPr>
            <w:r w:rsidRPr="0021398F">
              <w:rPr>
                <w:color w:val="000000"/>
              </w:rPr>
              <w:t>Portugal</w:t>
            </w:r>
          </w:p>
        </w:tc>
        <w:tc>
          <w:tcPr>
            <w:tcW w:w="1426" w:type="dxa"/>
            <w:tcBorders>
              <w:top w:val="nil"/>
              <w:left w:val="nil"/>
              <w:bottom w:val="nil"/>
              <w:right w:val="nil"/>
            </w:tcBorders>
            <w:shd w:val="clear" w:color="auto" w:fill="auto"/>
            <w:noWrap/>
            <w:vAlign w:val="bottom"/>
            <w:hideMark/>
          </w:tcPr>
          <w:p w14:paraId="51C1E46F" w14:textId="7FA3A1ED" w:rsidR="00237D87" w:rsidRPr="00B071B7" w:rsidRDefault="00237D87" w:rsidP="00237D87">
            <w:pPr>
              <w:spacing w:after="0" w:line="240" w:lineRule="auto"/>
              <w:rPr>
                <w:color w:val="000000"/>
              </w:rPr>
            </w:pPr>
            <w:r>
              <w:rPr>
                <w:color w:val="000000"/>
              </w:rPr>
              <w:t>.81</w:t>
            </w:r>
          </w:p>
        </w:tc>
        <w:tc>
          <w:tcPr>
            <w:tcW w:w="1462" w:type="dxa"/>
            <w:tcBorders>
              <w:top w:val="nil"/>
              <w:left w:val="nil"/>
              <w:bottom w:val="nil"/>
              <w:right w:val="nil"/>
            </w:tcBorders>
            <w:shd w:val="clear" w:color="auto" w:fill="auto"/>
            <w:noWrap/>
            <w:vAlign w:val="bottom"/>
            <w:hideMark/>
          </w:tcPr>
          <w:p w14:paraId="166550FE" w14:textId="1FCF77AE" w:rsidR="00237D87" w:rsidRPr="00B071B7" w:rsidRDefault="00237D87" w:rsidP="00237D87">
            <w:pPr>
              <w:spacing w:after="0" w:line="240" w:lineRule="auto"/>
              <w:rPr>
                <w:color w:val="000000"/>
              </w:rPr>
            </w:pPr>
            <w:r>
              <w:rPr>
                <w:color w:val="000000"/>
              </w:rPr>
              <w:t>.32</w:t>
            </w:r>
          </w:p>
        </w:tc>
        <w:tc>
          <w:tcPr>
            <w:tcW w:w="1559" w:type="dxa"/>
            <w:tcBorders>
              <w:top w:val="nil"/>
              <w:left w:val="nil"/>
              <w:bottom w:val="nil"/>
              <w:right w:val="nil"/>
            </w:tcBorders>
            <w:shd w:val="clear" w:color="auto" w:fill="auto"/>
            <w:noWrap/>
            <w:vAlign w:val="center"/>
            <w:hideMark/>
          </w:tcPr>
          <w:p w14:paraId="47E0CB82" w14:textId="77777777" w:rsidR="00237D87" w:rsidRPr="00B071B7" w:rsidRDefault="00237D87" w:rsidP="00237D87">
            <w:pPr>
              <w:spacing w:after="0" w:line="240" w:lineRule="auto"/>
              <w:rPr>
                <w:color w:val="000000"/>
              </w:rPr>
            </w:pPr>
            <w:r w:rsidRPr="00B071B7">
              <w:rPr>
                <w:color w:val="000000"/>
              </w:rPr>
              <w:t>.63</w:t>
            </w:r>
          </w:p>
        </w:tc>
        <w:tc>
          <w:tcPr>
            <w:tcW w:w="1496" w:type="dxa"/>
            <w:tcBorders>
              <w:top w:val="nil"/>
              <w:left w:val="nil"/>
              <w:bottom w:val="nil"/>
              <w:right w:val="nil"/>
            </w:tcBorders>
            <w:shd w:val="clear" w:color="auto" w:fill="auto"/>
            <w:noWrap/>
            <w:vAlign w:val="bottom"/>
            <w:hideMark/>
          </w:tcPr>
          <w:p w14:paraId="15EC0CA7"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3E3B82B1" w14:textId="77777777" w:rsidTr="00F866EA">
        <w:trPr>
          <w:trHeight w:val="300"/>
        </w:trPr>
        <w:tc>
          <w:tcPr>
            <w:tcW w:w="2082" w:type="dxa"/>
            <w:tcBorders>
              <w:top w:val="nil"/>
              <w:left w:val="nil"/>
              <w:bottom w:val="nil"/>
              <w:right w:val="nil"/>
            </w:tcBorders>
            <w:shd w:val="clear" w:color="auto" w:fill="auto"/>
            <w:noWrap/>
            <w:vAlign w:val="bottom"/>
            <w:hideMark/>
          </w:tcPr>
          <w:p w14:paraId="7F74E80B" w14:textId="77777777" w:rsidR="00237D87" w:rsidRPr="0021398F" w:rsidRDefault="00237D87" w:rsidP="00237D87">
            <w:pPr>
              <w:spacing w:after="0" w:line="240" w:lineRule="auto"/>
              <w:jc w:val="left"/>
              <w:rPr>
                <w:color w:val="000000"/>
              </w:rPr>
            </w:pPr>
            <w:r w:rsidRPr="0021398F">
              <w:rPr>
                <w:color w:val="000000"/>
              </w:rPr>
              <w:t>Romania</w:t>
            </w:r>
          </w:p>
        </w:tc>
        <w:tc>
          <w:tcPr>
            <w:tcW w:w="1426" w:type="dxa"/>
            <w:tcBorders>
              <w:top w:val="nil"/>
              <w:left w:val="nil"/>
              <w:bottom w:val="nil"/>
              <w:right w:val="nil"/>
            </w:tcBorders>
            <w:shd w:val="clear" w:color="auto" w:fill="auto"/>
            <w:noWrap/>
            <w:vAlign w:val="bottom"/>
            <w:hideMark/>
          </w:tcPr>
          <w:p w14:paraId="42F6E3DC" w14:textId="50B87A8C"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14903E20" w14:textId="29043BBB" w:rsidR="00237D87" w:rsidRPr="00B071B7" w:rsidRDefault="00237D87" w:rsidP="00237D87">
            <w:pPr>
              <w:spacing w:after="0" w:line="240" w:lineRule="auto"/>
              <w:rPr>
                <w:color w:val="000000"/>
              </w:rPr>
            </w:pPr>
            <w:r>
              <w:rPr>
                <w:color w:val="000000"/>
              </w:rPr>
              <w:t>.64</w:t>
            </w:r>
          </w:p>
        </w:tc>
        <w:tc>
          <w:tcPr>
            <w:tcW w:w="1559" w:type="dxa"/>
            <w:tcBorders>
              <w:top w:val="nil"/>
              <w:left w:val="nil"/>
              <w:bottom w:val="nil"/>
              <w:right w:val="nil"/>
            </w:tcBorders>
            <w:shd w:val="clear" w:color="auto" w:fill="auto"/>
            <w:noWrap/>
            <w:vAlign w:val="center"/>
            <w:hideMark/>
          </w:tcPr>
          <w:p w14:paraId="7CAC04DF"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nil"/>
              <w:right w:val="nil"/>
            </w:tcBorders>
            <w:shd w:val="clear" w:color="auto" w:fill="auto"/>
            <w:noWrap/>
            <w:vAlign w:val="bottom"/>
            <w:hideMark/>
          </w:tcPr>
          <w:p w14:paraId="6E43E881" w14:textId="77777777" w:rsidR="00237D87" w:rsidRPr="00B071B7" w:rsidRDefault="00237D87" w:rsidP="00237D87">
            <w:pPr>
              <w:spacing w:after="0" w:line="240" w:lineRule="auto"/>
              <w:rPr>
                <w:color w:val="000000"/>
              </w:rPr>
            </w:pPr>
            <w:r w:rsidRPr="00B071B7">
              <w:rPr>
                <w:color w:val="000000"/>
              </w:rPr>
              <w:t>.47</w:t>
            </w:r>
          </w:p>
        </w:tc>
      </w:tr>
      <w:tr w:rsidR="00237D87" w:rsidRPr="00B071B7" w14:paraId="60F63B71" w14:textId="77777777" w:rsidTr="00F866EA">
        <w:trPr>
          <w:trHeight w:val="300"/>
        </w:trPr>
        <w:tc>
          <w:tcPr>
            <w:tcW w:w="2082" w:type="dxa"/>
            <w:tcBorders>
              <w:top w:val="nil"/>
              <w:left w:val="nil"/>
              <w:bottom w:val="nil"/>
              <w:right w:val="nil"/>
            </w:tcBorders>
            <w:shd w:val="clear" w:color="auto" w:fill="auto"/>
            <w:noWrap/>
            <w:vAlign w:val="bottom"/>
            <w:hideMark/>
          </w:tcPr>
          <w:p w14:paraId="0C119473" w14:textId="77777777" w:rsidR="00237D87" w:rsidRPr="0021398F" w:rsidRDefault="00237D87" w:rsidP="00237D87">
            <w:pPr>
              <w:spacing w:after="0" w:line="240" w:lineRule="auto"/>
              <w:jc w:val="left"/>
              <w:rPr>
                <w:color w:val="000000"/>
              </w:rPr>
            </w:pPr>
            <w:r w:rsidRPr="0021398F">
              <w:rPr>
                <w:color w:val="000000"/>
              </w:rPr>
              <w:t>Russia</w:t>
            </w:r>
          </w:p>
        </w:tc>
        <w:tc>
          <w:tcPr>
            <w:tcW w:w="1426" w:type="dxa"/>
            <w:tcBorders>
              <w:top w:val="nil"/>
              <w:left w:val="nil"/>
              <w:bottom w:val="nil"/>
              <w:right w:val="nil"/>
            </w:tcBorders>
            <w:shd w:val="clear" w:color="auto" w:fill="auto"/>
            <w:noWrap/>
            <w:vAlign w:val="bottom"/>
            <w:hideMark/>
          </w:tcPr>
          <w:p w14:paraId="1978B295" w14:textId="170F78F7"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4667B773" w14:textId="5EFF81A4" w:rsidR="00237D87" w:rsidRPr="00B071B7" w:rsidRDefault="00237D87" w:rsidP="00237D87">
            <w:pPr>
              <w:spacing w:after="0" w:line="240" w:lineRule="auto"/>
              <w:rPr>
                <w:color w:val="000000"/>
              </w:rPr>
            </w:pPr>
            <w:r>
              <w:rPr>
                <w:color w:val="000000"/>
              </w:rPr>
              <w:t>.60</w:t>
            </w:r>
          </w:p>
        </w:tc>
        <w:tc>
          <w:tcPr>
            <w:tcW w:w="1559" w:type="dxa"/>
            <w:tcBorders>
              <w:top w:val="nil"/>
              <w:left w:val="nil"/>
              <w:bottom w:val="nil"/>
              <w:right w:val="nil"/>
            </w:tcBorders>
            <w:shd w:val="clear" w:color="auto" w:fill="auto"/>
            <w:noWrap/>
            <w:vAlign w:val="center"/>
            <w:hideMark/>
          </w:tcPr>
          <w:p w14:paraId="13F58EE5" w14:textId="77777777" w:rsidR="00237D87" w:rsidRPr="00B071B7" w:rsidRDefault="00237D87" w:rsidP="00237D87">
            <w:pPr>
              <w:spacing w:after="0" w:line="240" w:lineRule="auto"/>
              <w:rPr>
                <w:color w:val="000000"/>
              </w:rPr>
            </w:pPr>
            <w:r w:rsidRPr="00B071B7">
              <w:rPr>
                <w:color w:val="000000"/>
              </w:rPr>
              <w:t>.63</w:t>
            </w:r>
          </w:p>
        </w:tc>
        <w:tc>
          <w:tcPr>
            <w:tcW w:w="1496" w:type="dxa"/>
            <w:tcBorders>
              <w:top w:val="nil"/>
              <w:left w:val="nil"/>
              <w:bottom w:val="nil"/>
              <w:right w:val="nil"/>
            </w:tcBorders>
            <w:shd w:val="clear" w:color="auto" w:fill="auto"/>
            <w:noWrap/>
            <w:vAlign w:val="bottom"/>
            <w:hideMark/>
          </w:tcPr>
          <w:p w14:paraId="4E77B20B"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66156270" w14:textId="77777777" w:rsidTr="00F866EA">
        <w:trPr>
          <w:trHeight w:val="300"/>
        </w:trPr>
        <w:tc>
          <w:tcPr>
            <w:tcW w:w="2082" w:type="dxa"/>
            <w:tcBorders>
              <w:top w:val="nil"/>
              <w:left w:val="nil"/>
              <w:bottom w:val="nil"/>
              <w:right w:val="nil"/>
            </w:tcBorders>
            <w:shd w:val="clear" w:color="auto" w:fill="auto"/>
            <w:noWrap/>
            <w:vAlign w:val="bottom"/>
            <w:hideMark/>
          </w:tcPr>
          <w:p w14:paraId="61534A05" w14:textId="77777777" w:rsidR="00237D87" w:rsidRPr="0021398F" w:rsidRDefault="00237D87" w:rsidP="00237D87">
            <w:pPr>
              <w:spacing w:after="0" w:line="240" w:lineRule="auto"/>
              <w:jc w:val="left"/>
              <w:rPr>
                <w:color w:val="000000"/>
              </w:rPr>
            </w:pPr>
            <w:r w:rsidRPr="0021398F">
              <w:rPr>
                <w:color w:val="000000"/>
              </w:rPr>
              <w:t>Senegal</w:t>
            </w:r>
          </w:p>
        </w:tc>
        <w:tc>
          <w:tcPr>
            <w:tcW w:w="1426" w:type="dxa"/>
            <w:tcBorders>
              <w:top w:val="nil"/>
              <w:left w:val="nil"/>
              <w:bottom w:val="nil"/>
              <w:right w:val="nil"/>
            </w:tcBorders>
            <w:shd w:val="clear" w:color="auto" w:fill="auto"/>
            <w:noWrap/>
            <w:vAlign w:val="bottom"/>
            <w:hideMark/>
          </w:tcPr>
          <w:p w14:paraId="534B9834" w14:textId="6F8F2D72"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161ADC6F" w14:textId="7F0FED47" w:rsidR="00237D87" w:rsidRPr="00B071B7" w:rsidRDefault="00237D87" w:rsidP="00237D87">
            <w:pPr>
              <w:spacing w:after="0" w:line="240" w:lineRule="auto"/>
              <w:rPr>
                <w:color w:val="000000"/>
              </w:rPr>
            </w:pPr>
            <w:r>
              <w:rPr>
                <w:color w:val="000000"/>
              </w:rPr>
              <w:t>.55</w:t>
            </w:r>
          </w:p>
        </w:tc>
        <w:tc>
          <w:tcPr>
            <w:tcW w:w="1559" w:type="dxa"/>
            <w:tcBorders>
              <w:top w:val="nil"/>
              <w:left w:val="nil"/>
              <w:bottom w:val="nil"/>
              <w:right w:val="nil"/>
            </w:tcBorders>
            <w:shd w:val="clear" w:color="auto" w:fill="auto"/>
            <w:noWrap/>
            <w:vAlign w:val="center"/>
            <w:hideMark/>
          </w:tcPr>
          <w:p w14:paraId="1F874420" w14:textId="77777777" w:rsidR="00237D87" w:rsidRPr="00B071B7" w:rsidRDefault="00237D87" w:rsidP="00237D87">
            <w:pPr>
              <w:spacing w:after="0" w:line="240" w:lineRule="auto"/>
              <w:rPr>
                <w:color w:val="000000"/>
              </w:rPr>
            </w:pPr>
            <w:r w:rsidRPr="00B071B7">
              <w:rPr>
                <w:color w:val="000000"/>
              </w:rPr>
              <w:t>.59</w:t>
            </w:r>
          </w:p>
        </w:tc>
        <w:tc>
          <w:tcPr>
            <w:tcW w:w="1496" w:type="dxa"/>
            <w:tcBorders>
              <w:top w:val="nil"/>
              <w:left w:val="nil"/>
              <w:bottom w:val="nil"/>
              <w:right w:val="nil"/>
            </w:tcBorders>
            <w:shd w:val="clear" w:color="auto" w:fill="auto"/>
            <w:noWrap/>
            <w:vAlign w:val="bottom"/>
            <w:hideMark/>
          </w:tcPr>
          <w:p w14:paraId="234D4323"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766E3BD7" w14:textId="77777777" w:rsidTr="00F866EA">
        <w:trPr>
          <w:trHeight w:val="300"/>
        </w:trPr>
        <w:tc>
          <w:tcPr>
            <w:tcW w:w="2082" w:type="dxa"/>
            <w:tcBorders>
              <w:top w:val="nil"/>
              <w:left w:val="nil"/>
              <w:bottom w:val="nil"/>
              <w:right w:val="nil"/>
            </w:tcBorders>
            <w:shd w:val="clear" w:color="auto" w:fill="auto"/>
            <w:noWrap/>
            <w:vAlign w:val="bottom"/>
            <w:hideMark/>
          </w:tcPr>
          <w:p w14:paraId="5D6E62E3" w14:textId="77777777" w:rsidR="00237D87" w:rsidRPr="0021398F" w:rsidRDefault="00237D87" w:rsidP="00237D87">
            <w:pPr>
              <w:spacing w:after="0" w:line="240" w:lineRule="auto"/>
              <w:jc w:val="left"/>
              <w:rPr>
                <w:color w:val="000000"/>
              </w:rPr>
            </w:pPr>
            <w:r w:rsidRPr="0021398F">
              <w:rPr>
                <w:color w:val="000000"/>
              </w:rPr>
              <w:t>Serbia</w:t>
            </w:r>
          </w:p>
        </w:tc>
        <w:tc>
          <w:tcPr>
            <w:tcW w:w="1426" w:type="dxa"/>
            <w:tcBorders>
              <w:top w:val="nil"/>
              <w:left w:val="nil"/>
              <w:bottom w:val="nil"/>
              <w:right w:val="nil"/>
            </w:tcBorders>
            <w:shd w:val="clear" w:color="auto" w:fill="auto"/>
            <w:noWrap/>
            <w:vAlign w:val="bottom"/>
            <w:hideMark/>
          </w:tcPr>
          <w:p w14:paraId="6ED4967F" w14:textId="472D3F40" w:rsidR="00237D87" w:rsidRPr="00B071B7" w:rsidRDefault="00237D87" w:rsidP="00237D87">
            <w:pPr>
              <w:spacing w:after="0" w:line="240" w:lineRule="auto"/>
              <w:rPr>
                <w:color w:val="000000"/>
              </w:rPr>
            </w:pPr>
            <w:r>
              <w:rPr>
                <w:color w:val="000000"/>
              </w:rPr>
              <w:t>.89</w:t>
            </w:r>
          </w:p>
        </w:tc>
        <w:tc>
          <w:tcPr>
            <w:tcW w:w="1462" w:type="dxa"/>
            <w:tcBorders>
              <w:top w:val="nil"/>
              <w:left w:val="nil"/>
              <w:bottom w:val="nil"/>
              <w:right w:val="nil"/>
            </w:tcBorders>
            <w:shd w:val="clear" w:color="auto" w:fill="auto"/>
            <w:noWrap/>
            <w:vAlign w:val="bottom"/>
            <w:hideMark/>
          </w:tcPr>
          <w:p w14:paraId="6C9E85E3" w14:textId="4F413FB1" w:rsidR="00237D87" w:rsidRPr="00B071B7" w:rsidRDefault="00237D87" w:rsidP="00237D87">
            <w:pPr>
              <w:spacing w:after="0" w:line="240" w:lineRule="auto"/>
              <w:rPr>
                <w:color w:val="000000"/>
              </w:rPr>
            </w:pPr>
            <w:r>
              <w:rPr>
                <w:color w:val="000000"/>
              </w:rPr>
              <w:t>.64</w:t>
            </w:r>
          </w:p>
        </w:tc>
        <w:tc>
          <w:tcPr>
            <w:tcW w:w="1559" w:type="dxa"/>
            <w:tcBorders>
              <w:top w:val="nil"/>
              <w:left w:val="nil"/>
              <w:bottom w:val="nil"/>
              <w:right w:val="nil"/>
            </w:tcBorders>
            <w:shd w:val="clear" w:color="auto" w:fill="auto"/>
            <w:noWrap/>
            <w:vAlign w:val="center"/>
            <w:hideMark/>
          </w:tcPr>
          <w:p w14:paraId="18834A22" w14:textId="77777777" w:rsidR="00237D87" w:rsidRPr="00B071B7" w:rsidRDefault="00237D87" w:rsidP="00237D87">
            <w:pPr>
              <w:spacing w:after="0" w:line="240" w:lineRule="auto"/>
              <w:rPr>
                <w:color w:val="000000"/>
              </w:rPr>
            </w:pPr>
            <w:r w:rsidRPr="00B071B7">
              <w:rPr>
                <w:color w:val="000000"/>
              </w:rPr>
              <w:t>.73</w:t>
            </w:r>
          </w:p>
        </w:tc>
        <w:tc>
          <w:tcPr>
            <w:tcW w:w="1496" w:type="dxa"/>
            <w:tcBorders>
              <w:top w:val="nil"/>
              <w:left w:val="nil"/>
              <w:bottom w:val="nil"/>
              <w:right w:val="nil"/>
            </w:tcBorders>
            <w:shd w:val="clear" w:color="auto" w:fill="auto"/>
            <w:noWrap/>
            <w:vAlign w:val="bottom"/>
            <w:hideMark/>
          </w:tcPr>
          <w:p w14:paraId="7FBFA6C8" w14:textId="77777777" w:rsidR="00237D87" w:rsidRPr="00B071B7" w:rsidRDefault="00237D87" w:rsidP="00237D87">
            <w:pPr>
              <w:spacing w:after="0" w:line="240" w:lineRule="auto"/>
              <w:rPr>
                <w:color w:val="000000"/>
              </w:rPr>
            </w:pPr>
            <w:r w:rsidRPr="00B071B7">
              <w:rPr>
                <w:color w:val="000000"/>
              </w:rPr>
              <w:t>.56</w:t>
            </w:r>
          </w:p>
        </w:tc>
      </w:tr>
      <w:tr w:rsidR="00237D87" w:rsidRPr="00B071B7" w14:paraId="53798498" w14:textId="77777777" w:rsidTr="00F866EA">
        <w:trPr>
          <w:trHeight w:val="300"/>
        </w:trPr>
        <w:tc>
          <w:tcPr>
            <w:tcW w:w="2082" w:type="dxa"/>
            <w:tcBorders>
              <w:top w:val="nil"/>
              <w:left w:val="nil"/>
              <w:bottom w:val="nil"/>
              <w:right w:val="nil"/>
            </w:tcBorders>
            <w:shd w:val="clear" w:color="auto" w:fill="auto"/>
            <w:noWrap/>
            <w:vAlign w:val="bottom"/>
            <w:hideMark/>
          </w:tcPr>
          <w:p w14:paraId="7DFAAA9A" w14:textId="77777777" w:rsidR="00237D87" w:rsidRPr="0021398F" w:rsidRDefault="00237D87" w:rsidP="00237D87">
            <w:pPr>
              <w:spacing w:after="0" w:line="240" w:lineRule="auto"/>
              <w:jc w:val="left"/>
              <w:rPr>
                <w:color w:val="000000"/>
              </w:rPr>
            </w:pPr>
            <w:r w:rsidRPr="0021398F">
              <w:rPr>
                <w:color w:val="000000"/>
              </w:rPr>
              <w:t>Singapore</w:t>
            </w:r>
          </w:p>
        </w:tc>
        <w:tc>
          <w:tcPr>
            <w:tcW w:w="1426" w:type="dxa"/>
            <w:tcBorders>
              <w:top w:val="nil"/>
              <w:left w:val="nil"/>
              <w:bottom w:val="nil"/>
              <w:right w:val="nil"/>
            </w:tcBorders>
            <w:shd w:val="clear" w:color="auto" w:fill="auto"/>
            <w:noWrap/>
            <w:vAlign w:val="bottom"/>
            <w:hideMark/>
          </w:tcPr>
          <w:p w14:paraId="146FCDC2" w14:textId="138AD692"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2035500A" w14:textId="3743AEEA" w:rsidR="00237D87" w:rsidRPr="00B071B7" w:rsidRDefault="00237D87" w:rsidP="00237D87">
            <w:pPr>
              <w:spacing w:after="0" w:line="240" w:lineRule="auto"/>
              <w:rPr>
                <w:color w:val="000000"/>
              </w:rPr>
            </w:pPr>
            <w:r>
              <w:rPr>
                <w:color w:val="000000"/>
              </w:rPr>
              <w:t>.62</w:t>
            </w:r>
          </w:p>
        </w:tc>
        <w:tc>
          <w:tcPr>
            <w:tcW w:w="1559" w:type="dxa"/>
            <w:tcBorders>
              <w:top w:val="nil"/>
              <w:left w:val="nil"/>
              <w:bottom w:val="nil"/>
              <w:right w:val="nil"/>
            </w:tcBorders>
            <w:shd w:val="clear" w:color="auto" w:fill="auto"/>
            <w:noWrap/>
            <w:vAlign w:val="center"/>
            <w:hideMark/>
          </w:tcPr>
          <w:p w14:paraId="384C4AD4"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nil"/>
              <w:right w:val="nil"/>
            </w:tcBorders>
            <w:shd w:val="clear" w:color="auto" w:fill="auto"/>
            <w:noWrap/>
            <w:vAlign w:val="bottom"/>
            <w:hideMark/>
          </w:tcPr>
          <w:p w14:paraId="61DF6D85" w14:textId="77777777" w:rsidR="00237D87" w:rsidRPr="00B071B7" w:rsidRDefault="00237D87" w:rsidP="00237D87">
            <w:pPr>
              <w:spacing w:after="0" w:line="240" w:lineRule="auto"/>
              <w:rPr>
                <w:color w:val="000000"/>
              </w:rPr>
            </w:pPr>
            <w:r w:rsidRPr="00B071B7">
              <w:rPr>
                <w:color w:val="000000"/>
              </w:rPr>
              <w:t>.47</w:t>
            </w:r>
          </w:p>
        </w:tc>
      </w:tr>
      <w:tr w:rsidR="00237D87" w:rsidRPr="00B071B7" w14:paraId="3EC826EA" w14:textId="77777777" w:rsidTr="00F866EA">
        <w:trPr>
          <w:trHeight w:val="300"/>
        </w:trPr>
        <w:tc>
          <w:tcPr>
            <w:tcW w:w="2082" w:type="dxa"/>
            <w:tcBorders>
              <w:top w:val="nil"/>
              <w:left w:val="nil"/>
              <w:bottom w:val="nil"/>
              <w:right w:val="nil"/>
            </w:tcBorders>
            <w:shd w:val="clear" w:color="auto" w:fill="auto"/>
            <w:noWrap/>
            <w:vAlign w:val="bottom"/>
            <w:hideMark/>
          </w:tcPr>
          <w:p w14:paraId="77E0B007" w14:textId="77777777" w:rsidR="00237D87" w:rsidRPr="0021398F" w:rsidRDefault="00237D87" w:rsidP="00237D87">
            <w:pPr>
              <w:spacing w:after="0" w:line="240" w:lineRule="auto"/>
              <w:jc w:val="left"/>
              <w:rPr>
                <w:color w:val="000000"/>
              </w:rPr>
            </w:pPr>
            <w:r w:rsidRPr="0021398F">
              <w:rPr>
                <w:color w:val="000000"/>
              </w:rPr>
              <w:t>Slovakia</w:t>
            </w:r>
          </w:p>
        </w:tc>
        <w:tc>
          <w:tcPr>
            <w:tcW w:w="1426" w:type="dxa"/>
            <w:tcBorders>
              <w:top w:val="nil"/>
              <w:left w:val="nil"/>
              <w:bottom w:val="nil"/>
              <w:right w:val="nil"/>
            </w:tcBorders>
            <w:shd w:val="clear" w:color="auto" w:fill="auto"/>
            <w:noWrap/>
            <w:vAlign w:val="bottom"/>
            <w:hideMark/>
          </w:tcPr>
          <w:p w14:paraId="01CE0391" w14:textId="1D74236D" w:rsidR="00237D87" w:rsidRPr="00B071B7" w:rsidRDefault="00237D87" w:rsidP="00237D87">
            <w:pPr>
              <w:spacing w:after="0" w:line="240" w:lineRule="auto"/>
              <w:rPr>
                <w:color w:val="000000"/>
              </w:rPr>
            </w:pPr>
            <w:r>
              <w:rPr>
                <w:color w:val="000000"/>
              </w:rPr>
              <w:t>.89</w:t>
            </w:r>
          </w:p>
        </w:tc>
        <w:tc>
          <w:tcPr>
            <w:tcW w:w="1462" w:type="dxa"/>
            <w:tcBorders>
              <w:top w:val="nil"/>
              <w:left w:val="nil"/>
              <w:bottom w:val="nil"/>
              <w:right w:val="nil"/>
            </w:tcBorders>
            <w:shd w:val="clear" w:color="auto" w:fill="auto"/>
            <w:noWrap/>
            <w:vAlign w:val="bottom"/>
            <w:hideMark/>
          </w:tcPr>
          <w:p w14:paraId="576B9170" w14:textId="45A8D97A" w:rsidR="00237D87" w:rsidRPr="00B071B7" w:rsidRDefault="00237D87" w:rsidP="00237D87">
            <w:pPr>
              <w:spacing w:after="0" w:line="240" w:lineRule="auto"/>
              <w:rPr>
                <w:color w:val="000000"/>
              </w:rPr>
            </w:pPr>
            <w:r>
              <w:rPr>
                <w:color w:val="000000"/>
              </w:rPr>
              <w:t>.70</w:t>
            </w:r>
          </w:p>
        </w:tc>
        <w:tc>
          <w:tcPr>
            <w:tcW w:w="1559" w:type="dxa"/>
            <w:tcBorders>
              <w:top w:val="nil"/>
              <w:left w:val="nil"/>
              <w:bottom w:val="nil"/>
              <w:right w:val="nil"/>
            </w:tcBorders>
            <w:shd w:val="clear" w:color="auto" w:fill="auto"/>
            <w:noWrap/>
            <w:vAlign w:val="center"/>
            <w:hideMark/>
          </w:tcPr>
          <w:p w14:paraId="54B765A2" w14:textId="77777777" w:rsidR="00237D87" w:rsidRPr="00B071B7" w:rsidRDefault="00237D87" w:rsidP="00237D87">
            <w:pPr>
              <w:spacing w:after="0" w:line="240" w:lineRule="auto"/>
              <w:rPr>
                <w:color w:val="000000"/>
              </w:rPr>
            </w:pPr>
            <w:r w:rsidRPr="00B071B7">
              <w:rPr>
                <w:color w:val="000000"/>
              </w:rPr>
              <w:t>.75</w:t>
            </w:r>
          </w:p>
        </w:tc>
        <w:tc>
          <w:tcPr>
            <w:tcW w:w="1496" w:type="dxa"/>
            <w:tcBorders>
              <w:top w:val="nil"/>
              <w:left w:val="nil"/>
              <w:bottom w:val="nil"/>
              <w:right w:val="nil"/>
            </w:tcBorders>
            <w:shd w:val="clear" w:color="auto" w:fill="auto"/>
            <w:noWrap/>
            <w:vAlign w:val="bottom"/>
            <w:hideMark/>
          </w:tcPr>
          <w:p w14:paraId="1AC2D092" w14:textId="77777777" w:rsidR="00237D87" w:rsidRPr="00B071B7" w:rsidRDefault="00237D87" w:rsidP="00237D87">
            <w:pPr>
              <w:spacing w:after="0" w:line="240" w:lineRule="auto"/>
              <w:rPr>
                <w:color w:val="000000"/>
              </w:rPr>
            </w:pPr>
            <w:r w:rsidRPr="00B071B7">
              <w:rPr>
                <w:color w:val="000000"/>
              </w:rPr>
              <w:t>.54</w:t>
            </w:r>
          </w:p>
        </w:tc>
      </w:tr>
      <w:tr w:rsidR="00237D87" w:rsidRPr="00B071B7" w14:paraId="7635DE3A" w14:textId="77777777" w:rsidTr="00F866EA">
        <w:trPr>
          <w:trHeight w:val="300"/>
        </w:trPr>
        <w:tc>
          <w:tcPr>
            <w:tcW w:w="2082" w:type="dxa"/>
            <w:tcBorders>
              <w:top w:val="nil"/>
              <w:left w:val="nil"/>
              <w:bottom w:val="nil"/>
              <w:right w:val="nil"/>
            </w:tcBorders>
            <w:shd w:val="clear" w:color="auto" w:fill="auto"/>
            <w:noWrap/>
            <w:vAlign w:val="bottom"/>
            <w:hideMark/>
          </w:tcPr>
          <w:p w14:paraId="1F89A97D" w14:textId="77777777" w:rsidR="00237D87" w:rsidRPr="0021398F" w:rsidRDefault="00237D87" w:rsidP="00237D87">
            <w:pPr>
              <w:spacing w:after="0" w:line="240" w:lineRule="auto"/>
              <w:jc w:val="left"/>
              <w:rPr>
                <w:color w:val="000000"/>
              </w:rPr>
            </w:pPr>
            <w:r w:rsidRPr="0021398F">
              <w:rPr>
                <w:color w:val="000000"/>
              </w:rPr>
              <w:t>Slovenia</w:t>
            </w:r>
          </w:p>
        </w:tc>
        <w:tc>
          <w:tcPr>
            <w:tcW w:w="1426" w:type="dxa"/>
            <w:tcBorders>
              <w:top w:val="nil"/>
              <w:left w:val="nil"/>
              <w:bottom w:val="nil"/>
              <w:right w:val="nil"/>
            </w:tcBorders>
            <w:shd w:val="clear" w:color="auto" w:fill="auto"/>
            <w:noWrap/>
            <w:vAlign w:val="bottom"/>
            <w:hideMark/>
          </w:tcPr>
          <w:p w14:paraId="7F37E903" w14:textId="4059FAAB" w:rsidR="00237D87" w:rsidRPr="00B071B7" w:rsidRDefault="00237D87" w:rsidP="00237D87">
            <w:pPr>
              <w:spacing w:after="0" w:line="240" w:lineRule="auto"/>
              <w:rPr>
                <w:color w:val="000000"/>
              </w:rPr>
            </w:pPr>
            <w:r>
              <w:rPr>
                <w:color w:val="000000"/>
              </w:rPr>
              <w:t>.83</w:t>
            </w:r>
          </w:p>
        </w:tc>
        <w:tc>
          <w:tcPr>
            <w:tcW w:w="1462" w:type="dxa"/>
            <w:tcBorders>
              <w:top w:val="nil"/>
              <w:left w:val="nil"/>
              <w:bottom w:val="nil"/>
              <w:right w:val="nil"/>
            </w:tcBorders>
            <w:shd w:val="clear" w:color="auto" w:fill="auto"/>
            <w:noWrap/>
            <w:vAlign w:val="bottom"/>
            <w:hideMark/>
          </w:tcPr>
          <w:p w14:paraId="1EF318AB" w14:textId="57D9332C" w:rsidR="00237D87" w:rsidRPr="00B071B7" w:rsidRDefault="00237D87" w:rsidP="00237D87">
            <w:pPr>
              <w:spacing w:after="0" w:line="240" w:lineRule="auto"/>
              <w:rPr>
                <w:color w:val="000000"/>
              </w:rPr>
            </w:pPr>
            <w:r>
              <w:rPr>
                <w:color w:val="000000"/>
              </w:rPr>
              <w:t>.58</w:t>
            </w:r>
          </w:p>
        </w:tc>
        <w:tc>
          <w:tcPr>
            <w:tcW w:w="1559" w:type="dxa"/>
            <w:tcBorders>
              <w:top w:val="nil"/>
              <w:left w:val="nil"/>
              <w:bottom w:val="nil"/>
              <w:right w:val="nil"/>
            </w:tcBorders>
            <w:shd w:val="clear" w:color="auto" w:fill="auto"/>
            <w:noWrap/>
            <w:vAlign w:val="center"/>
            <w:hideMark/>
          </w:tcPr>
          <w:p w14:paraId="6F062645" w14:textId="77777777" w:rsidR="00237D87" w:rsidRPr="00B071B7" w:rsidRDefault="00237D87" w:rsidP="00237D87">
            <w:pPr>
              <w:spacing w:after="0" w:line="240" w:lineRule="auto"/>
              <w:rPr>
                <w:color w:val="000000"/>
              </w:rPr>
            </w:pPr>
            <w:r w:rsidRPr="00B071B7">
              <w:rPr>
                <w:color w:val="000000"/>
              </w:rPr>
              <w:t>.63</w:t>
            </w:r>
          </w:p>
        </w:tc>
        <w:tc>
          <w:tcPr>
            <w:tcW w:w="1496" w:type="dxa"/>
            <w:tcBorders>
              <w:top w:val="nil"/>
              <w:left w:val="nil"/>
              <w:bottom w:val="nil"/>
              <w:right w:val="nil"/>
            </w:tcBorders>
            <w:shd w:val="clear" w:color="auto" w:fill="auto"/>
            <w:noWrap/>
            <w:vAlign w:val="bottom"/>
            <w:hideMark/>
          </w:tcPr>
          <w:p w14:paraId="59F71036"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4E6CE6B8" w14:textId="77777777" w:rsidTr="00F866EA">
        <w:trPr>
          <w:trHeight w:val="300"/>
        </w:trPr>
        <w:tc>
          <w:tcPr>
            <w:tcW w:w="2082" w:type="dxa"/>
            <w:tcBorders>
              <w:top w:val="nil"/>
              <w:left w:val="nil"/>
              <w:bottom w:val="nil"/>
              <w:right w:val="nil"/>
            </w:tcBorders>
            <w:shd w:val="clear" w:color="auto" w:fill="auto"/>
            <w:noWrap/>
            <w:vAlign w:val="bottom"/>
            <w:hideMark/>
          </w:tcPr>
          <w:p w14:paraId="0B9B4585" w14:textId="77777777" w:rsidR="00237D87" w:rsidRPr="0021398F" w:rsidRDefault="00237D87" w:rsidP="00237D87">
            <w:pPr>
              <w:spacing w:after="0" w:line="240" w:lineRule="auto"/>
              <w:jc w:val="left"/>
              <w:rPr>
                <w:color w:val="000000"/>
              </w:rPr>
            </w:pPr>
            <w:r w:rsidRPr="0021398F">
              <w:rPr>
                <w:color w:val="000000"/>
              </w:rPr>
              <w:t>South Africa</w:t>
            </w:r>
          </w:p>
        </w:tc>
        <w:tc>
          <w:tcPr>
            <w:tcW w:w="1426" w:type="dxa"/>
            <w:tcBorders>
              <w:top w:val="nil"/>
              <w:left w:val="nil"/>
              <w:bottom w:val="nil"/>
              <w:right w:val="nil"/>
            </w:tcBorders>
            <w:shd w:val="clear" w:color="auto" w:fill="auto"/>
            <w:noWrap/>
            <w:vAlign w:val="bottom"/>
            <w:hideMark/>
          </w:tcPr>
          <w:p w14:paraId="5EC6A8E6" w14:textId="270E5CEA" w:rsidR="00237D87" w:rsidRPr="00B071B7" w:rsidRDefault="00237D87" w:rsidP="00237D87">
            <w:pPr>
              <w:spacing w:after="0" w:line="240" w:lineRule="auto"/>
              <w:rPr>
                <w:color w:val="000000"/>
              </w:rPr>
            </w:pPr>
            <w:r>
              <w:rPr>
                <w:color w:val="000000"/>
              </w:rPr>
              <w:t>.84</w:t>
            </w:r>
          </w:p>
        </w:tc>
        <w:tc>
          <w:tcPr>
            <w:tcW w:w="1462" w:type="dxa"/>
            <w:tcBorders>
              <w:top w:val="nil"/>
              <w:left w:val="nil"/>
              <w:bottom w:val="nil"/>
              <w:right w:val="nil"/>
            </w:tcBorders>
            <w:shd w:val="clear" w:color="auto" w:fill="auto"/>
            <w:noWrap/>
            <w:vAlign w:val="bottom"/>
            <w:hideMark/>
          </w:tcPr>
          <w:p w14:paraId="064A787E" w14:textId="397C96EC" w:rsidR="00237D87" w:rsidRPr="00B071B7" w:rsidRDefault="00237D87" w:rsidP="00237D87">
            <w:pPr>
              <w:spacing w:after="0" w:line="240" w:lineRule="auto"/>
              <w:rPr>
                <w:color w:val="000000"/>
              </w:rPr>
            </w:pPr>
            <w:r>
              <w:rPr>
                <w:color w:val="000000"/>
              </w:rPr>
              <w:t>.64</w:t>
            </w:r>
          </w:p>
        </w:tc>
        <w:tc>
          <w:tcPr>
            <w:tcW w:w="1559" w:type="dxa"/>
            <w:tcBorders>
              <w:top w:val="nil"/>
              <w:left w:val="nil"/>
              <w:bottom w:val="nil"/>
              <w:right w:val="nil"/>
            </w:tcBorders>
            <w:shd w:val="clear" w:color="auto" w:fill="auto"/>
            <w:noWrap/>
            <w:vAlign w:val="center"/>
            <w:hideMark/>
          </w:tcPr>
          <w:p w14:paraId="71FD33B1" w14:textId="77777777" w:rsidR="00237D87" w:rsidRPr="00B071B7" w:rsidRDefault="00237D87" w:rsidP="00237D87">
            <w:pPr>
              <w:spacing w:after="0" w:line="240" w:lineRule="auto"/>
              <w:rPr>
                <w:color w:val="000000"/>
              </w:rPr>
            </w:pPr>
            <w:r w:rsidRPr="00B071B7">
              <w:rPr>
                <w:color w:val="000000"/>
              </w:rPr>
              <w:t>.64</w:t>
            </w:r>
          </w:p>
        </w:tc>
        <w:tc>
          <w:tcPr>
            <w:tcW w:w="1496" w:type="dxa"/>
            <w:tcBorders>
              <w:top w:val="nil"/>
              <w:left w:val="nil"/>
              <w:bottom w:val="nil"/>
              <w:right w:val="nil"/>
            </w:tcBorders>
            <w:shd w:val="clear" w:color="auto" w:fill="auto"/>
            <w:noWrap/>
            <w:vAlign w:val="bottom"/>
            <w:hideMark/>
          </w:tcPr>
          <w:p w14:paraId="19B4F6CD"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66E76C49" w14:textId="77777777" w:rsidTr="00F866EA">
        <w:trPr>
          <w:trHeight w:val="300"/>
        </w:trPr>
        <w:tc>
          <w:tcPr>
            <w:tcW w:w="2082" w:type="dxa"/>
            <w:tcBorders>
              <w:top w:val="nil"/>
              <w:left w:val="nil"/>
              <w:bottom w:val="nil"/>
              <w:right w:val="nil"/>
            </w:tcBorders>
            <w:shd w:val="clear" w:color="auto" w:fill="auto"/>
            <w:noWrap/>
            <w:vAlign w:val="bottom"/>
            <w:hideMark/>
          </w:tcPr>
          <w:p w14:paraId="42DC0F4A" w14:textId="77777777" w:rsidR="00237D87" w:rsidRPr="0021398F" w:rsidRDefault="00237D87" w:rsidP="00237D87">
            <w:pPr>
              <w:spacing w:after="0" w:line="240" w:lineRule="auto"/>
              <w:jc w:val="left"/>
              <w:rPr>
                <w:color w:val="000000"/>
              </w:rPr>
            </w:pPr>
            <w:r w:rsidRPr="0021398F">
              <w:rPr>
                <w:color w:val="000000"/>
              </w:rPr>
              <w:t>South Korea</w:t>
            </w:r>
          </w:p>
        </w:tc>
        <w:tc>
          <w:tcPr>
            <w:tcW w:w="1426" w:type="dxa"/>
            <w:tcBorders>
              <w:top w:val="nil"/>
              <w:left w:val="nil"/>
              <w:bottom w:val="nil"/>
              <w:right w:val="nil"/>
            </w:tcBorders>
            <w:shd w:val="clear" w:color="auto" w:fill="auto"/>
            <w:noWrap/>
            <w:vAlign w:val="bottom"/>
            <w:hideMark/>
          </w:tcPr>
          <w:p w14:paraId="0F4359AF" w14:textId="7CBAE015" w:rsidR="00237D87" w:rsidRPr="00B071B7" w:rsidRDefault="00237D87" w:rsidP="00237D87">
            <w:pPr>
              <w:spacing w:after="0" w:line="240" w:lineRule="auto"/>
              <w:rPr>
                <w:color w:val="000000"/>
              </w:rPr>
            </w:pPr>
            <w:r>
              <w:rPr>
                <w:color w:val="000000"/>
              </w:rPr>
              <w:t>.89</w:t>
            </w:r>
          </w:p>
        </w:tc>
        <w:tc>
          <w:tcPr>
            <w:tcW w:w="1462" w:type="dxa"/>
            <w:tcBorders>
              <w:top w:val="nil"/>
              <w:left w:val="nil"/>
              <w:bottom w:val="nil"/>
              <w:right w:val="nil"/>
            </w:tcBorders>
            <w:shd w:val="clear" w:color="auto" w:fill="auto"/>
            <w:noWrap/>
            <w:vAlign w:val="bottom"/>
            <w:hideMark/>
          </w:tcPr>
          <w:p w14:paraId="25D45336" w14:textId="2B1B9D2E" w:rsidR="00237D87" w:rsidRPr="00B071B7" w:rsidRDefault="00237D87" w:rsidP="00237D87">
            <w:pPr>
              <w:spacing w:after="0" w:line="240" w:lineRule="auto"/>
              <w:rPr>
                <w:color w:val="000000"/>
              </w:rPr>
            </w:pPr>
            <w:r>
              <w:rPr>
                <w:color w:val="000000"/>
              </w:rPr>
              <w:t>.75</w:t>
            </w:r>
          </w:p>
        </w:tc>
        <w:tc>
          <w:tcPr>
            <w:tcW w:w="1559" w:type="dxa"/>
            <w:tcBorders>
              <w:top w:val="nil"/>
              <w:left w:val="nil"/>
              <w:bottom w:val="nil"/>
              <w:right w:val="nil"/>
            </w:tcBorders>
            <w:shd w:val="clear" w:color="auto" w:fill="auto"/>
            <w:noWrap/>
            <w:vAlign w:val="center"/>
            <w:hideMark/>
          </w:tcPr>
          <w:p w14:paraId="5D8900C7" w14:textId="77777777" w:rsidR="00237D87" w:rsidRPr="00B071B7" w:rsidRDefault="00237D87" w:rsidP="00237D87">
            <w:pPr>
              <w:spacing w:after="0" w:line="240" w:lineRule="auto"/>
              <w:rPr>
                <w:color w:val="000000"/>
              </w:rPr>
            </w:pPr>
            <w:r w:rsidRPr="00B071B7">
              <w:rPr>
                <w:color w:val="000000"/>
              </w:rPr>
              <w:t>.79</w:t>
            </w:r>
          </w:p>
        </w:tc>
        <w:tc>
          <w:tcPr>
            <w:tcW w:w="1496" w:type="dxa"/>
            <w:tcBorders>
              <w:top w:val="nil"/>
              <w:left w:val="nil"/>
              <w:bottom w:val="nil"/>
              <w:right w:val="nil"/>
            </w:tcBorders>
            <w:shd w:val="clear" w:color="auto" w:fill="auto"/>
            <w:noWrap/>
            <w:vAlign w:val="bottom"/>
            <w:hideMark/>
          </w:tcPr>
          <w:p w14:paraId="6BEFBB0A" w14:textId="77777777" w:rsidR="00237D87" w:rsidRPr="00B071B7" w:rsidRDefault="00237D87" w:rsidP="00237D87">
            <w:pPr>
              <w:spacing w:after="0" w:line="240" w:lineRule="auto"/>
              <w:rPr>
                <w:color w:val="000000"/>
              </w:rPr>
            </w:pPr>
            <w:r w:rsidRPr="00B071B7">
              <w:rPr>
                <w:color w:val="000000"/>
              </w:rPr>
              <w:t>.55</w:t>
            </w:r>
          </w:p>
        </w:tc>
      </w:tr>
      <w:tr w:rsidR="00237D87" w:rsidRPr="00B071B7" w14:paraId="4F4D78CC" w14:textId="77777777" w:rsidTr="00F866EA">
        <w:trPr>
          <w:trHeight w:val="300"/>
        </w:trPr>
        <w:tc>
          <w:tcPr>
            <w:tcW w:w="2082" w:type="dxa"/>
            <w:tcBorders>
              <w:top w:val="nil"/>
              <w:left w:val="nil"/>
              <w:bottom w:val="nil"/>
              <w:right w:val="nil"/>
            </w:tcBorders>
            <w:shd w:val="clear" w:color="auto" w:fill="auto"/>
            <w:noWrap/>
            <w:vAlign w:val="bottom"/>
            <w:hideMark/>
          </w:tcPr>
          <w:p w14:paraId="57321DE3" w14:textId="77777777" w:rsidR="00237D87" w:rsidRPr="0021398F" w:rsidRDefault="00237D87" w:rsidP="00237D87">
            <w:pPr>
              <w:spacing w:after="0" w:line="240" w:lineRule="auto"/>
              <w:jc w:val="left"/>
              <w:rPr>
                <w:color w:val="000000"/>
              </w:rPr>
            </w:pPr>
            <w:r w:rsidRPr="0021398F">
              <w:rPr>
                <w:color w:val="000000"/>
              </w:rPr>
              <w:t>Spain</w:t>
            </w:r>
          </w:p>
        </w:tc>
        <w:tc>
          <w:tcPr>
            <w:tcW w:w="1426" w:type="dxa"/>
            <w:tcBorders>
              <w:top w:val="nil"/>
              <w:left w:val="nil"/>
              <w:bottom w:val="nil"/>
              <w:right w:val="nil"/>
            </w:tcBorders>
            <w:shd w:val="clear" w:color="auto" w:fill="auto"/>
            <w:noWrap/>
            <w:vAlign w:val="bottom"/>
            <w:hideMark/>
          </w:tcPr>
          <w:p w14:paraId="38B1607C" w14:textId="5CBBC173" w:rsidR="00237D87" w:rsidRPr="00B071B7" w:rsidRDefault="00237D87" w:rsidP="00237D87">
            <w:pPr>
              <w:spacing w:after="0" w:line="240" w:lineRule="auto"/>
              <w:rPr>
                <w:color w:val="000000"/>
              </w:rPr>
            </w:pPr>
            <w:r>
              <w:rPr>
                <w:color w:val="000000"/>
              </w:rPr>
              <w:t>.84</w:t>
            </w:r>
          </w:p>
        </w:tc>
        <w:tc>
          <w:tcPr>
            <w:tcW w:w="1462" w:type="dxa"/>
            <w:tcBorders>
              <w:top w:val="nil"/>
              <w:left w:val="nil"/>
              <w:bottom w:val="nil"/>
              <w:right w:val="nil"/>
            </w:tcBorders>
            <w:shd w:val="clear" w:color="auto" w:fill="auto"/>
            <w:noWrap/>
            <w:vAlign w:val="bottom"/>
            <w:hideMark/>
          </w:tcPr>
          <w:p w14:paraId="07CF58C8" w14:textId="3BA0DA59" w:rsidR="00237D87" w:rsidRPr="00B071B7" w:rsidRDefault="00237D87" w:rsidP="00237D87">
            <w:pPr>
              <w:spacing w:after="0" w:line="240" w:lineRule="auto"/>
              <w:rPr>
                <w:color w:val="000000"/>
              </w:rPr>
            </w:pPr>
            <w:r>
              <w:rPr>
                <w:color w:val="000000"/>
              </w:rPr>
              <w:t>.66</w:t>
            </w:r>
          </w:p>
        </w:tc>
        <w:tc>
          <w:tcPr>
            <w:tcW w:w="1559" w:type="dxa"/>
            <w:tcBorders>
              <w:top w:val="nil"/>
              <w:left w:val="nil"/>
              <w:bottom w:val="nil"/>
              <w:right w:val="nil"/>
            </w:tcBorders>
            <w:shd w:val="clear" w:color="auto" w:fill="auto"/>
            <w:noWrap/>
            <w:vAlign w:val="center"/>
            <w:hideMark/>
          </w:tcPr>
          <w:p w14:paraId="388D9B11" w14:textId="77777777" w:rsidR="00237D87" w:rsidRPr="00B071B7" w:rsidRDefault="00237D87" w:rsidP="00237D87">
            <w:pPr>
              <w:spacing w:after="0" w:line="240" w:lineRule="auto"/>
              <w:rPr>
                <w:color w:val="000000"/>
              </w:rPr>
            </w:pPr>
            <w:r w:rsidRPr="00B071B7">
              <w:rPr>
                <w:color w:val="000000"/>
              </w:rPr>
              <w:t>.71</w:t>
            </w:r>
          </w:p>
        </w:tc>
        <w:tc>
          <w:tcPr>
            <w:tcW w:w="1496" w:type="dxa"/>
            <w:tcBorders>
              <w:top w:val="nil"/>
              <w:left w:val="nil"/>
              <w:bottom w:val="nil"/>
              <w:right w:val="nil"/>
            </w:tcBorders>
            <w:shd w:val="clear" w:color="auto" w:fill="auto"/>
            <w:noWrap/>
            <w:vAlign w:val="bottom"/>
            <w:hideMark/>
          </w:tcPr>
          <w:p w14:paraId="2B82ADAC"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19CB7A2A" w14:textId="77777777" w:rsidTr="00F866EA">
        <w:trPr>
          <w:trHeight w:val="300"/>
        </w:trPr>
        <w:tc>
          <w:tcPr>
            <w:tcW w:w="2082" w:type="dxa"/>
            <w:tcBorders>
              <w:top w:val="nil"/>
              <w:left w:val="nil"/>
              <w:bottom w:val="nil"/>
              <w:right w:val="nil"/>
            </w:tcBorders>
            <w:shd w:val="clear" w:color="auto" w:fill="auto"/>
            <w:noWrap/>
            <w:vAlign w:val="bottom"/>
            <w:hideMark/>
          </w:tcPr>
          <w:p w14:paraId="6A2017BA" w14:textId="77777777" w:rsidR="00237D87" w:rsidRPr="0021398F" w:rsidRDefault="00237D87" w:rsidP="00237D87">
            <w:pPr>
              <w:spacing w:after="0" w:line="240" w:lineRule="auto"/>
              <w:jc w:val="left"/>
              <w:rPr>
                <w:color w:val="000000"/>
              </w:rPr>
            </w:pPr>
            <w:r w:rsidRPr="0021398F">
              <w:rPr>
                <w:color w:val="000000"/>
              </w:rPr>
              <w:t>Sweden</w:t>
            </w:r>
          </w:p>
        </w:tc>
        <w:tc>
          <w:tcPr>
            <w:tcW w:w="1426" w:type="dxa"/>
            <w:tcBorders>
              <w:top w:val="nil"/>
              <w:left w:val="nil"/>
              <w:bottom w:val="nil"/>
              <w:right w:val="nil"/>
            </w:tcBorders>
            <w:shd w:val="clear" w:color="auto" w:fill="auto"/>
            <w:noWrap/>
            <w:vAlign w:val="bottom"/>
            <w:hideMark/>
          </w:tcPr>
          <w:p w14:paraId="6C3B30CE" w14:textId="5BC95E85" w:rsidR="00237D87" w:rsidRPr="00B071B7" w:rsidRDefault="00237D87" w:rsidP="00237D87">
            <w:pPr>
              <w:spacing w:after="0" w:line="240" w:lineRule="auto"/>
              <w:rPr>
                <w:color w:val="000000"/>
              </w:rPr>
            </w:pPr>
            <w:r>
              <w:rPr>
                <w:color w:val="000000"/>
              </w:rPr>
              <w:t>.89</w:t>
            </w:r>
          </w:p>
        </w:tc>
        <w:tc>
          <w:tcPr>
            <w:tcW w:w="1462" w:type="dxa"/>
            <w:tcBorders>
              <w:top w:val="nil"/>
              <w:left w:val="nil"/>
              <w:bottom w:val="nil"/>
              <w:right w:val="nil"/>
            </w:tcBorders>
            <w:shd w:val="clear" w:color="auto" w:fill="auto"/>
            <w:noWrap/>
            <w:vAlign w:val="bottom"/>
            <w:hideMark/>
          </w:tcPr>
          <w:p w14:paraId="35CC40CE" w14:textId="0CC65CC0" w:rsidR="00237D87" w:rsidRPr="00B071B7" w:rsidRDefault="00237D87" w:rsidP="00237D87">
            <w:pPr>
              <w:spacing w:after="0" w:line="240" w:lineRule="auto"/>
              <w:rPr>
                <w:color w:val="000000"/>
              </w:rPr>
            </w:pPr>
            <w:r>
              <w:rPr>
                <w:color w:val="000000"/>
              </w:rPr>
              <w:t>.63</w:t>
            </w:r>
          </w:p>
        </w:tc>
        <w:tc>
          <w:tcPr>
            <w:tcW w:w="1559" w:type="dxa"/>
            <w:tcBorders>
              <w:top w:val="nil"/>
              <w:left w:val="nil"/>
              <w:bottom w:val="nil"/>
              <w:right w:val="nil"/>
            </w:tcBorders>
            <w:shd w:val="clear" w:color="auto" w:fill="auto"/>
            <w:noWrap/>
            <w:vAlign w:val="center"/>
            <w:hideMark/>
          </w:tcPr>
          <w:p w14:paraId="77DEDCF3" w14:textId="77777777" w:rsidR="00237D87" w:rsidRPr="00B071B7" w:rsidRDefault="00237D87" w:rsidP="00237D87">
            <w:pPr>
              <w:spacing w:after="0" w:line="240" w:lineRule="auto"/>
              <w:rPr>
                <w:color w:val="000000"/>
              </w:rPr>
            </w:pPr>
            <w:r w:rsidRPr="00B071B7">
              <w:rPr>
                <w:color w:val="000000"/>
              </w:rPr>
              <w:t>.68</w:t>
            </w:r>
          </w:p>
        </w:tc>
        <w:tc>
          <w:tcPr>
            <w:tcW w:w="1496" w:type="dxa"/>
            <w:tcBorders>
              <w:top w:val="nil"/>
              <w:left w:val="nil"/>
              <w:bottom w:val="nil"/>
              <w:right w:val="nil"/>
            </w:tcBorders>
            <w:shd w:val="clear" w:color="auto" w:fill="auto"/>
            <w:noWrap/>
            <w:vAlign w:val="bottom"/>
            <w:hideMark/>
          </w:tcPr>
          <w:p w14:paraId="3BCF465F" w14:textId="77777777" w:rsidR="00237D87" w:rsidRPr="00B071B7" w:rsidRDefault="00237D87" w:rsidP="00237D87">
            <w:pPr>
              <w:spacing w:after="0" w:line="240" w:lineRule="auto"/>
              <w:rPr>
                <w:color w:val="000000"/>
              </w:rPr>
            </w:pPr>
            <w:r w:rsidRPr="00B071B7">
              <w:rPr>
                <w:color w:val="000000"/>
              </w:rPr>
              <w:t>.57</w:t>
            </w:r>
          </w:p>
        </w:tc>
      </w:tr>
      <w:tr w:rsidR="00237D87" w:rsidRPr="00B071B7" w14:paraId="23F80008" w14:textId="77777777" w:rsidTr="00F866EA">
        <w:trPr>
          <w:trHeight w:val="300"/>
        </w:trPr>
        <w:tc>
          <w:tcPr>
            <w:tcW w:w="2082" w:type="dxa"/>
            <w:tcBorders>
              <w:top w:val="nil"/>
              <w:left w:val="nil"/>
              <w:bottom w:val="nil"/>
              <w:right w:val="nil"/>
            </w:tcBorders>
            <w:shd w:val="clear" w:color="auto" w:fill="auto"/>
            <w:noWrap/>
            <w:vAlign w:val="bottom"/>
            <w:hideMark/>
          </w:tcPr>
          <w:p w14:paraId="2E1A53F5" w14:textId="77777777" w:rsidR="00237D87" w:rsidRPr="0021398F" w:rsidRDefault="00237D87" w:rsidP="00237D87">
            <w:pPr>
              <w:spacing w:after="0" w:line="240" w:lineRule="auto"/>
              <w:jc w:val="left"/>
              <w:rPr>
                <w:color w:val="000000"/>
              </w:rPr>
            </w:pPr>
            <w:r w:rsidRPr="0021398F">
              <w:rPr>
                <w:color w:val="000000"/>
              </w:rPr>
              <w:t>Switzerland</w:t>
            </w:r>
          </w:p>
        </w:tc>
        <w:tc>
          <w:tcPr>
            <w:tcW w:w="1426" w:type="dxa"/>
            <w:tcBorders>
              <w:top w:val="nil"/>
              <w:left w:val="nil"/>
              <w:bottom w:val="nil"/>
              <w:right w:val="nil"/>
            </w:tcBorders>
            <w:shd w:val="clear" w:color="auto" w:fill="auto"/>
            <w:noWrap/>
            <w:vAlign w:val="bottom"/>
            <w:hideMark/>
          </w:tcPr>
          <w:p w14:paraId="4313A868" w14:textId="34E3BB66" w:rsidR="00237D87" w:rsidRPr="00B071B7" w:rsidRDefault="00237D87" w:rsidP="00237D87">
            <w:pPr>
              <w:spacing w:after="0" w:line="240" w:lineRule="auto"/>
              <w:rPr>
                <w:color w:val="000000"/>
              </w:rPr>
            </w:pPr>
            <w:r>
              <w:rPr>
                <w:color w:val="000000"/>
              </w:rPr>
              <w:t>.82</w:t>
            </w:r>
          </w:p>
        </w:tc>
        <w:tc>
          <w:tcPr>
            <w:tcW w:w="1462" w:type="dxa"/>
            <w:tcBorders>
              <w:top w:val="nil"/>
              <w:left w:val="nil"/>
              <w:bottom w:val="nil"/>
              <w:right w:val="nil"/>
            </w:tcBorders>
            <w:shd w:val="clear" w:color="auto" w:fill="auto"/>
            <w:noWrap/>
            <w:vAlign w:val="bottom"/>
            <w:hideMark/>
          </w:tcPr>
          <w:p w14:paraId="643085C8" w14:textId="3DC9BF20" w:rsidR="00237D87" w:rsidRPr="00B071B7" w:rsidRDefault="00237D87" w:rsidP="00237D87">
            <w:pPr>
              <w:spacing w:after="0" w:line="240" w:lineRule="auto"/>
              <w:rPr>
                <w:color w:val="000000"/>
              </w:rPr>
            </w:pPr>
            <w:r>
              <w:rPr>
                <w:color w:val="000000"/>
              </w:rPr>
              <w:t>.56</w:t>
            </w:r>
          </w:p>
        </w:tc>
        <w:tc>
          <w:tcPr>
            <w:tcW w:w="1559" w:type="dxa"/>
            <w:tcBorders>
              <w:top w:val="nil"/>
              <w:left w:val="nil"/>
              <w:bottom w:val="nil"/>
              <w:right w:val="nil"/>
            </w:tcBorders>
            <w:shd w:val="clear" w:color="auto" w:fill="auto"/>
            <w:noWrap/>
            <w:vAlign w:val="center"/>
            <w:hideMark/>
          </w:tcPr>
          <w:p w14:paraId="348927FE" w14:textId="77777777" w:rsidR="00237D87" w:rsidRPr="00B071B7" w:rsidRDefault="00237D87" w:rsidP="00237D87">
            <w:pPr>
              <w:spacing w:after="0" w:line="240" w:lineRule="auto"/>
              <w:rPr>
                <w:color w:val="000000"/>
              </w:rPr>
            </w:pPr>
            <w:r w:rsidRPr="00B071B7">
              <w:rPr>
                <w:color w:val="000000"/>
              </w:rPr>
              <w:t>.61</w:t>
            </w:r>
          </w:p>
        </w:tc>
        <w:tc>
          <w:tcPr>
            <w:tcW w:w="1496" w:type="dxa"/>
            <w:tcBorders>
              <w:top w:val="nil"/>
              <w:left w:val="nil"/>
              <w:bottom w:val="nil"/>
              <w:right w:val="nil"/>
            </w:tcBorders>
            <w:shd w:val="clear" w:color="auto" w:fill="auto"/>
            <w:noWrap/>
            <w:vAlign w:val="bottom"/>
            <w:hideMark/>
          </w:tcPr>
          <w:p w14:paraId="0CD0090D"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1F766B5F" w14:textId="77777777" w:rsidTr="00F866EA">
        <w:trPr>
          <w:trHeight w:val="300"/>
        </w:trPr>
        <w:tc>
          <w:tcPr>
            <w:tcW w:w="2082" w:type="dxa"/>
            <w:tcBorders>
              <w:top w:val="nil"/>
              <w:left w:val="nil"/>
              <w:bottom w:val="nil"/>
              <w:right w:val="nil"/>
            </w:tcBorders>
            <w:shd w:val="clear" w:color="auto" w:fill="auto"/>
            <w:noWrap/>
            <w:vAlign w:val="bottom"/>
            <w:hideMark/>
          </w:tcPr>
          <w:p w14:paraId="7C25F13E" w14:textId="77777777" w:rsidR="00237D87" w:rsidRPr="0021398F" w:rsidRDefault="00237D87" w:rsidP="00237D87">
            <w:pPr>
              <w:spacing w:after="0" w:line="240" w:lineRule="auto"/>
              <w:jc w:val="left"/>
              <w:rPr>
                <w:color w:val="000000"/>
              </w:rPr>
            </w:pPr>
            <w:r w:rsidRPr="0021398F">
              <w:rPr>
                <w:color w:val="000000"/>
              </w:rPr>
              <w:t>Taiwan</w:t>
            </w:r>
          </w:p>
        </w:tc>
        <w:tc>
          <w:tcPr>
            <w:tcW w:w="1426" w:type="dxa"/>
            <w:tcBorders>
              <w:top w:val="nil"/>
              <w:left w:val="nil"/>
              <w:bottom w:val="nil"/>
              <w:right w:val="nil"/>
            </w:tcBorders>
            <w:shd w:val="clear" w:color="auto" w:fill="auto"/>
            <w:noWrap/>
            <w:vAlign w:val="bottom"/>
            <w:hideMark/>
          </w:tcPr>
          <w:p w14:paraId="56A4DC85" w14:textId="4B0BD57F"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0DACC40B" w14:textId="023973E5" w:rsidR="00237D87" w:rsidRPr="00B071B7" w:rsidRDefault="00237D87" w:rsidP="00237D87">
            <w:pPr>
              <w:spacing w:after="0" w:line="240" w:lineRule="auto"/>
              <w:rPr>
                <w:color w:val="000000"/>
              </w:rPr>
            </w:pPr>
            <w:r>
              <w:rPr>
                <w:color w:val="000000"/>
              </w:rPr>
              <w:t>.77</w:t>
            </w:r>
          </w:p>
        </w:tc>
        <w:tc>
          <w:tcPr>
            <w:tcW w:w="1559" w:type="dxa"/>
            <w:tcBorders>
              <w:top w:val="nil"/>
              <w:left w:val="nil"/>
              <w:bottom w:val="nil"/>
              <w:right w:val="nil"/>
            </w:tcBorders>
            <w:shd w:val="clear" w:color="auto" w:fill="auto"/>
            <w:noWrap/>
            <w:vAlign w:val="center"/>
            <w:hideMark/>
          </w:tcPr>
          <w:p w14:paraId="37E998C9" w14:textId="77777777" w:rsidR="00237D87" w:rsidRPr="00B071B7" w:rsidRDefault="00237D87" w:rsidP="00237D87">
            <w:pPr>
              <w:spacing w:after="0" w:line="240" w:lineRule="auto"/>
              <w:rPr>
                <w:color w:val="000000"/>
              </w:rPr>
            </w:pPr>
            <w:r w:rsidRPr="00B071B7">
              <w:rPr>
                <w:color w:val="000000"/>
              </w:rPr>
              <w:t>.67</w:t>
            </w:r>
          </w:p>
        </w:tc>
        <w:tc>
          <w:tcPr>
            <w:tcW w:w="1496" w:type="dxa"/>
            <w:tcBorders>
              <w:top w:val="nil"/>
              <w:left w:val="nil"/>
              <w:bottom w:val="nil"/>
              <w:right w:val="nil"/>
            </w:tcBorders>
            <w:shd w:val="clear" w:color="auto" w:fill="auto"/>
            <w:noWrap/>
            <w:vAlign w:val="bottom"/>
            <w:hideMark/>
          </w:tcPr>
          <w:p w14:paraId="1797391A" w14:textId="77777777" w:rsidR="00237D87" w:rsidRPr="00B071B7" w:rsidRDefault="00237D87" w:rsidP="00237D87">
            <w:pPr>
              <w:spacing w:after="0" w:line="240" w:lineRule="auto"/>
              <w:rPr>
                <w:color w:val="000000"/>
              </w:rPr>
            </w:pPr>
            <w:r w:rsidRPr="00B071B7">
              <w:rPr>
                <w:color w:val="000000"/>
              </w:rPr>
              <w:t>.48</w:t>
            </w:r>
          </w:p>
        </w:tc>
      </w:tr>
      <w:tr w:rsidR="00237D87" w:rsidRPr="00B071B7" w14:paraId="5C2760FE" w14:textId="77777777" w:rsidTr="00F866EA">
        <w:trPr>
          <w:trHeight w:val="300"/>
        </w:trPr>
        <w:tc>
          <w:tcPr>
            <w:tcW w:w="2082" w:type="dxa"/>
            <w:tcBorders>
              <w:top w:val="nil"/>
              <w:left w:val="nil"/>
              <w:bottom w:val="nil"/>
              <w:right w:val="nil"/>
            </w:tcBorders>
            <w:shd w:val="clear" w:color="auto" w:fill="auto"/>
            <w:noWrap/>
            <w:vAlign w:val="bottom"/>
            <w:hideMark/>
          </w:tcPr>
          <w:p w14:paraId="1D01D595" w14:textId="77777777" w:rsidR="00237D87" w:rsidRPr="0021398F" w:rsidRDefault="00237D87" w:rsidP="00237D87">
            <w:pPr>
              <w:spacing w:after="0" w:line="240" w:lineRule="auto"/>
              <w:jc w:val="left"/>
              <w:rPr>
                <w:color w:val="000000"/>
              </w:rPr>
            </w:pPr>
            <w:r w:rsidRPr="0021398F">
              <w:rPr>
                <w:color w:val="000000"/>
              </w:rPr>
              <w:t>Thailand</w:t>
            </w:r>
          </w:p>
        </w:tc>
        <w:tc>
          <w:tcPr>
            <w:tcW w:w="1426" w:type="dxa"/>
            <w:tcBorders>
              <w:top w:val="nil"/>
              <w:left w:val="nil"/>
              <w:bottom w:val="nil"/>
              <w:right w:val="nil"/>
            </w:tcBorders>
            <w:shd w:val="clear" w:color="auto" w:fill="auto"/>
            <w:noWrap/>
            <w:vAlign w:val="bottom"/>
            <w:hideMark/>
          </w:tcPr>
          <w:p w14:paraId="6A6B8633" w14:textId="46255211" w:rsidR="00237D87" w:rsidRPr="00B071B7" w:rsidRDefault="00237D87" w:rsidP="00237D87">
            <w:pPr>
              <w:spacing w:after="0" w:line="240" w:lineRule="auto"/>
              <w:rPr>
                <w:color w:val="000000"/>
              </w:rPr>
            </w:pPr>
            <w:r>
              <w:rPr>
                <w:color w:val="000000"/>
              </w:rPr>
              <w:t>.89</w:t>
            </w:r>
          </w:p>
        </w:tc>
        <w:tc>
          <w:tcPr>
            <w:tcW w:w="1462" w:type="dxa"/>
            <w:tcBorders>
              <w:top w:val="nil"/>
              <w:left w:val="nil"/>
              <w:bottom w:val="nil"/>
              <w:right w:val="nil"/>
            </w:tcBorders>
            <w:shd w:val="clear" w:color="auto" w:fill="auto"/>
            <w:noWrap/>
            <w:vAlign w:val="bottom"/>
            <w:hideMark/>
          </w:tcPr>
          <w:p w14:paraId="3A0840E6" w14:textId="6A2BC3EF" w:rsidR="00237D87" w:rsidRPr="00B071B7" w:rsidRDefault="00237D87" w:rsidP="00237D87">
            <w:pPr>
              <w:spacing w:after="0" w:line="240" w:lineRule="auto"/>
              <w:rPr>
                <w:color w:val="000000"/>
              </w:rPr>
            </w:pPr>
            <w:r>
              <w:rPr>
                <w:color w:val="000000"/>
              </w:rPr>
              <w:t>.81</w:t>
            </w:r>
          </w:p>
        </w:tc>
        <w:tc>
          <w:tcPr>
            <w:tcW w:w="1559" w:type="dxa"/>
            <w:tcBorders>
              <w:top w:val="nil"/>
              <w:left w:val="nil"/>
              <w:bottom w:val="nil"/>
              <w:right w:val="nil"/>
            </w:tcBorders>
            <w:shd w:val="clear" w:color="auto" w:fill="auto"/>
            <w:noWrap/>
            <w:vAlign w:val="center"/>
            <w:hideMark/>
          </w:tcPr>
          <w:p w14:paraId="69AE8062" w14:textId="77777777" w:rsidR="00237D87" w:rsidRPr="00B071B7" w:rsidRDefault="00237D87" w:rsidP="00237D87">
            <w:pPr>
              <w:spacing w:after="0" w:line="240" w:lineRule="auto"/>
              <w:rPr>
                <w:color w:val="000000"/>
              </w:rPr>
            </w:pPr>
            <w:r w:rsidRPr="00B071B7">
              <w:rPr>
                <w:color w:val="000000"/>
              </w:rPr>
              <w:t>.76</w:t>
            </w:r>
          </w:p>
        </w:tc>
        <w:tc>
          <w:tcPr>
            <w:tcW w:w="1496" w:type="dxa"/>
            <w:tcBorders>
              <w:top w:val="nil"/>
              <w:left w:val="nil"/>
              <w:bottom w:val="nil"/>
              <w:right w:val="nil"/>
            </w:tcBorders>
            <w:shd w:val="clear" w:color="auto" w:fill="auto"/>
            <w:noWrap/>
            <w:vAlign w:val="bottom"/>
            <w:hideMark/>
          </w:tcPr>
          <w:p w14:paraId="66801EB8" w14:textId="77777777" w:rsidR="00237D87" w:rsidRPr="00B071B7" w:rsidRDefault="00237D87" w:rsidP="00237D87">
            <w:pPr>
              <w:spacing w:after="0" w:line="240" w:lineRule="auto"/>
              <w:rPr>
                <w:color w:val="000000"/>
              </w:rPr>
            </w:pPr>
            <w:r w:rsidRPr="00B071B7">
              <w:rPr>
                <w:color w:val="000000"/>
              </w:rPr>
              <w:t>.57</w:t>
            </w:r>
          </w:p>
        </w:tc>
      </w:tr>
      <w:tr w:rsidR="00237D87" w:rsidRPr="00B071B7" w14:paraId="5C3EA8D6" w14:textId="77777777" w:rsidTr="00F866EA">
        <w:trPr>
          <w:trHeight w:val="300"/>
        </w:trPr>
        <w:tc>
          <w:tcPr>
            <w:tcW w:w="2082" w:type="dxa"/>
            <w:tcBorders>
              <w:top w:val="nil"/>
              <w:left w:val="nil"/>
              <w:bottom w:val="nil"/>
              <w:right w:val="nil"/>
            </w:tcBorders>
            <w:shd w:val="clear" w:color="auto" w:fill="auto"/>
            <w:noWrap/>
            <w:vAlign w:val="bottom"/>
            <w:hideMark/>
          </w:tcPr>
          <w:p w14:paraId="6DC0DC8B" w14:textId="77777777" w:rsidR="00237D87" w:rsidRPr="0021398F" w:rsidRDefault="00237D87" w:rsidP="00237D87">
            <w:pPr>
              <w:spacing w:after="0" w:line="240" w:lineRule="auto"/>
              <w:jc w:val="left"/>
              <w:rPr>
                <w:color w:val="000000"/>
              </w:rPr>
            </w:pPr>
            <w:r w:rsidRPr="0021398F">
              <w:rPr>
                <w:color w:val="000000"/>
              </w:rPr>
              <w:t>Turkey</w:t>
            </w:r>
          </w:p>
        </w:tc>
        <w:tc>
          <w:tcPr>
            <w:tcW w:w="1426" w:type="dxa"/>
            <w:tcBorders>
              <w:top w:val="nil"/>
              <w:left w:val="nil"/>
              <w:bottom w:val="nil"/>
              <w:right w:val="nil"/>
            </w:tcBorders>
            <w:shd w:val="clear" w:color="auto" w:fill="auto"/>
            <w:noWrap/>
            <w:vAlign w:val="bottom"/>
            <w:hideMark/>
          </w:tcPr>
          <w:p w14:paraId="1AD9AC65" w14:textId="099DA43D" w:rsidR="00237D87" w:rsidRPr="00B071B7" w:rsidRDefault="00237D87" w:rsidP="00237D87">
            <w:pPr>
              <w:spacing w:after="0" w:line="240" w:lineRule="auto"/>
              <w:rPr>
                <w:color w:val="000000"/>
              </w:rPr>
            </w:pPr>
            <w:r>
              <w:rPr>
                <w:color w:val="000000"/>
              </w:rPr>
              <w:t>.83</w:t>
            </w:r>
          </w:p>
        </w:tc>
        <w:tc>
          <w:tcPr>
            <w:tcW w:w="1462" w:type="dxa"/>
            <w:tcBorders>
              <w:top w:val="nil"/>
              <w:left w:val="nil"/>
              <w:bottom w:val="nil"/>
              <w:right w:val="nil"/>
            </w:tcBorders>
            <w:shd w:val="clear" w:color="auto" w:fill="auto"/>
            <w:noWrap/>
            <w:vAlign w:val="bottom"/>
            <w:hideMark/>
          </w:tcPr>
          <w:p w14:paraId="2BB767C0" w14:textId="6031C819" w:rsidR="00237D87" w:rsidRPr="00B071B7" w:rsidRDefault="00237D87" w:rsidP="00237D87">
            <w:pPr>
              <w:spacing w:after="0" w:line="240" w:lineRule="auto"/>
              <w:rPr>
                <w:color w:val="000000"/>
              </w:rPr>
            </w:pPr>
            <w:r>
              <w:rPr>
                <w:color w:val="000000"/>
              </w:rPr>
              <w:t>.63</w:t>
            </w:r>
          </w:p>
        </w:tc>
        <w:tc>
          <w:tcPr>
            <w:tcW w:w="1559" w:type="dxa"/>
            <w:tcBorders>
              <w:top w:val="nil"/>
              <w:left w:val="nil"/>
              <w:bottom w:val="nil"/>
              <w:right w:val="nil"/>
            </w:tcBorders>
            <w:shd w:val="clear" w:color="auto" w:fill="auto"/>
            <w:noWrap/>
            <w:vAlign w:val="center"/>
            <w:hideMark/>
          </w:tcPr>
          <w:p w14:paraId="3613E80C" w14:textId="77777777" w:rsidR="00237D87" w:rsidRPr="00B071B7" w:rsidRDefault="00237D87" w:rsidP="00237D87">
            <w:pPr>
              <w:spacing w:after="0" w:line="240" w:lineRule="auto"/>
              <w:rPr>
                <w:color w:val="000000"/>
              </w:rPr>
            </w:pPr>
            <w:r w:rsidRPr="00B071B7">
              <w:rPr>
                <w:color w:val="000000"/>
              </w:rPr>
              <w:t>.63</w:t>
            </w:r>
          </w:p>
        </w:tc>
        <w:tc>
          <w:tcPr>
            <w:tcW w:w="1496" w:type="dxa"/>
            <w:tcBorders>
              <w:top w:val="nil"/>
              <w:left w:val="nil"/>
              <w:bottom w:val="nil"/>
              <w:right w:val="nil"/>
            </w:tcBorders>
            <w:shd w:val="clear" w:color="auto" w:fill="auto"/>
            <w:noWrap/>
            <w:vAlign w:val="bottom"/>
            <w:hideMark/>
          </w:tcPr>
          <w:p w14:paraId="34B9F026"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7862A511" w14:textId="77777777" w:rsidTr="00F866EA">
        <w:trPr>
          <w:trHeight w:val="300"/>
        </w:trPr>
        <w:tc>
          <w:tcPr>
            <w:tcW w:w="2082" w:type="dxa"/>
            <w:tcBorders>
              <w:top w:val="nil"/>
              <w:left w:val="nil"/>
              <w:bottom w:val="nil"/>
              <w:right w:val="nil"/>
            </w:tcBorders>
            <w:shd w:val="clear" w:color="auto" w:fill="auto"/>
            <w:noWrap/>
            <w:vAlign w:val="bottom"/>
            <w:hideMark/>
          </w:tcPr>
          <w:p w14:paraId="6ADFFB12" w14:textId="77777777" w:rsidR="00237D87" w:rsidRPr="0021398F" w:rsidRDefault="00237D87" w:rsidP="00237D87">
            <w:pPr>
              <w:spacing w:after="0" w:line="240" w:lineRule="auto"/>
              <w:jc w:val="left"/>
              <w:rPr>
                <w:color w:val="000000"/>
              </w:rPr>
            </w:pPr>
            <w:r w:rsidRPr="0021398F">
              <w:rPr>
                <w:color w:val="000000"/>
              </w:rPr>
              <w:t>Uganda</w:t>
            </w:r>
          </w:p>
        </w:tc>
        <w:tc>
          <w:tcPr>
            <w:tcW w:w="1426" w:type="dxa"/>
            <w:tcBorders>
              <w:top w:val="nil"/>
              <w:left w:val="nil"/>
              <w:bottom w:val="nil"/>
              <w:right w:val="nil"/>
            </w:tcBorders>
            <w:shd w:val="clear" w:color="auto" w:fill="auto"/>
            <w:noWrap/>
            <w:vAlign w:val="bottom"/>
            <w:hideMark/>
          </w:tcPr>
          <w:p w14:paraId="2DAFDFDF" w14:textId="7AB2BF91" w:rsidR="00237D87" w:rsidRPr="00B071B7" w:rsidRDefault="00237D87" w:rsidP="00237D87">
            <w:pPr>
              <w:spacing w:after="0" w:line="240" w:lineRule="auto"/>
              <w:rPr>
                <w:color w:val="000000"/>
              </w:rPr>
            </w:pPr>
            <w:r>
              <w:rPr>
                <w:color w:val="000000"/>
              </w:rPr>
              <w:t>.74</w:t>
            </w:r>
          </w:p>
        </w:tc>
        <w:tc>
          <w:tcPr>
            <w:tcW w:w="1462" w:type="dxa"/>
            <w:tcBorders>
              <w:top w:val="nil"/>
              <w:left w:val="nil"/>
              <w:bottom w:val="nil"/>
              <w:right w:val="nil"/>
            </w:tcBorders>
            <w:shd w:val="clear" w:color="auto" w:fill="auto"/>
            <w:noWrap/>
            <w:vAlign w:val="bottom"/>
            <w:hideMark/>
          </w:tcPr>
          <w:p w14:paraId="4F2C2B14" w14:textId="6748E69C" w:rsidR="00237D87" w:rsidRPr="00B071B7" w:rsidRDefault="00237D87" w:rsidP="00237D87">
            <w:pPr>
              <w:spacing w:after="0" w:line="240" w:lineRule="auto"/>
              <w:rPr>
                <w:color w:val="000000"/>
              </w:rPr>
            </w:pPr>
            <w:r>
              <w:rPr>
                <w:color w:val="000000"/>
              </w:rPr>
              <w:t>.41</w:t>
            </w:r>
          </w:p>
        </w:tc>
        <w:tc>
          <w:tcPr>
            <w:tcW w:w="1559" w:type="dxa"/>
            <w:tcBorders>
              <w:top w:val="nil"/>
              <w:left w:val="nil"/>
              <w:bottom w:val="nil"/>
              <w:right w:val="nil"/>
            </w:tcBorders>
            <w:shd w:val="clear" w:color="auto" w:fill="auto"/>
            <w:noWrap/>
            <w:vAlign w:val="center"/>
            <w:hideMark/>
          </w:tcPr>
          <w:p w14:paraId="6C7D7987" w14:textId="77777777" w:rsidR="00237D87" w:rsidRPr="00B071B7" w:rsidRDefault="00237D87" w:rsidP="00237D87">
            <w:pPr>
              <w:spacing w:after="0" w:line="240" w:lineRule="auto"/>
              <w:rPr>
                <w:color w:val="000000"/>
              </w:rPr>
            </w:pPr>
            <w:r w:rsidRPr="00B071B7">
              <w:rPr>
                <w:color w:val="000000"/>
              </w:rPr>
              <w:t>.47</w:t>
            </w:r>
          </w:p>
        </w:tc>
        <w:tc>
          <w:tcPr>
            <w:tcW w:w="1496" w:type="dxa"/>
            <w:tcBorders>
              <w:top w:val="nil"/>
              <w:left w:val="nil"/>
              <w:bottom w:val="nil"/>
              <w:right w:val="nil"/>
            </w:tcBorders>
            <w:shd w:val="clear" w:color="auto" w:fill="auto"/>
            <w:noWrap/>
            <w:vAlign w:val="bottom"/>
            <w:hideMark/>
          </w:tcPr>
          <w:p w14:paraId="24AC1306" w14:textId="77777777" w:rsidR="00237D87" w:rsidRPr="00B071B7" w:rsidRDefault="00237D87" w:rsidP="00237D87">
            <w:pPr>
              <w:spacing w:after="0" w:line="240" w:lineRule="auto"/>
              <w:rPr>
                <w:color w:val="000000"/>
              </w:rPr>
            </w:pPr>
            <w:r w:rsidRPr="00B071B7">
              <w:rPr>
                <w:color w:val="000000"/>
              </w:rPr>
              <w:t>.37</w:t>
            </w:r>
          </w:p>
        </w:tc>
      </w:tr>
      <w:tr w:rsidR="00237D87" w:rsidRPr="00B071B7" w14:paraId="59F333EB" w14:textId="77777777" w:rsidTr="00F866EA">
        <w:trPr>
          <w:trHeight w:val="300"/>
        </w:trPr>
        <w:tc>
          <w:tcPr>
            <w:tcW w:w="2082" w:type="dxa"/>
            <w:tcBorders>
              <w:top w:val="nil"/>
              <w:left w:val="nil"/>
              <w:bottom w:val="nil"/>
              <w:right w:val="nil"/>
            </w:tcBorders>
            <w:shd w:val="clear" w:color="auto" w:fill="auto"/>
            <w:noWrap/>
            <w:vAlign w:val="bottom"/>
            <w:hideMark/>
          </w:tcPr>
          <w:p w14:paraId="7B637FD9" w14:textId="77777777" w:rsidR="00237D87" w:rsidRPr="0021398F" w:rsidRDefault="00237D87" w:rsidP="00237D87">
            <w:pPr>
              <w:spacing w:after="0" w:line="240" w:lineRule="auto"/>
              <w:jc w:val="left"/>
              <w:rPr>
                <w:color w:val="000000"/>
              </w:rPr>
            </w:pPr>
            <w:r w:rsidRPr="0021398F">
              <w:rPr>
                <w:color w:val="000000"/>
              </w:rPr>
              <w:t>Ukraine</w:t>
            </w:r>
          </w:p>
        </w:tc>
        <w:tc>
          <w:tcPr>
            <w:tcW w:w="1426" w:type="dxa"/>
            <w:tcBorders>
              <w:top w:val="nil"/>
              <w:left w:val="nil"/>
              <w:bottom w:val="nil"/>
              <w:right w:val="nil"/>
            </w:tcBorders>
            <w:shd w:val="clear" w:color="auto" w:fill="auto"/>
            <w:noWrap/>
            <w:vAlign w:val="bottom"/>
            <w:hideMark/>
          </w:tcPr>
          <w:p w14:paraId="332C9FA5" w14:textId="693C7B17" w:rsidR="00237D87" w:rsidRPr="00B071B7" w:rsidRDefault="00237D87" w:rsidP="00237D87">
            <w:pPr>
              <w:spacing w:after="0" w:line="240" w:lineRule="auto"/>
              <w:rPr>
                <w:color w:val="000000"/>
              </w:rPr>
            </w:pPr>
            <w:r>
              <w:rPr>
                <w:color w:val="000000"/>
              </w:rPr>
              <w:t>.80</w:t>
            </w:r>
          </w:p>
        </w:tc>
        <w:tc>
          <w:tcPr>
            <w:tcW w:w="1462" w:type="dxa"/>
            <w:tcBorders>
              <w:top w:val="nil"/>
              <w:left w:val="nil"/>
              <w:bottom w:val="nil"/>
              <w:right w:val="nil"/>
            </w:tcBorders>
            <w:shd w:val="clear" w:color="auto" w:fill="auto"/>
            <w:noWrap/>
            <w:vAlign w:val="bottom"/>
            <w:hideMark/>
          </w:tcPr>
          <w:p w14:paraId="51F54180" w14:textId="5FE3EDBD" w:rsidR="00237D87" w:rsidRPr="00B071B7" w:rsidRDefault="00237D87" w:rsidP="00237D87">
            <w:pPr>
              <w:spacing w:after="0" w:line="240" w:lineRule="auto"/>
              <w:rPr>
                <w:color w:val="000000"/>
              </w:rPr>
            </w:pPr>
            <w:r>
              <w:rPr>
                <w:color w:val="000000"/>
              </w:rPr>
              <w:t>.54</w:t>
            </w:r>
          </w:p>
        </w:tc>
        <w:tc>
          <w:tcPr>
            <w:tcW w:w="1559" w:type="dxa"/>
            <w:tcBorders>
              <w:top w:val="nil"/>
              <w:left w:val="nil"/>
              <w:bottom w:val="nil"/>
              <w:right w:val="nil"/>
            </w:tcBorders>
            <w:shd w:val="clear" w:color="auto" w:fill="auto"/>
            <w:noWrap/>
            <w:vAlign w:val="center"/>
            <w:hideMark/>
          </w:tcPr>
          <w:p w14:paraId="48DEAD0E" w14:textId="77777777" w:rsidR="00237D87" w:rsidRPr="00B071B7" w:rsidRDefault="00237D87" w:rsidP="00237D87">
            <w:pPr>
              <w:spacing w:after="0" w:line="240" w:lineRule="auto"/>
              <w:rPr>
                <w:color w:val="000000"/>
              </w:rPr>
            </w:pPr>
            <w:r w:rsidRPr="00B071B7">
              <w:rPr>
                <w:color w:val="000000"/>
              </w:rPr>
              <w:t>.56</w:t>
            </w:r>
          </w:p>
        </w:tc>
        <w:tc>
          <w:tcPr>
            <w:tcW w:w="1496" w:type="dxa"/>
            <w:tcBorders>
              <w:top w:val="nil"/>
              <w:left w:val="nil"/>
              <w:bottom w:val="nil"/>
              <w:right w:val="nil"/>
            </w:tcBorders>
            <w:shd w:val="clear" w:color="auto" w:fill="auto"/>
            <w:noWrap/>
            <w:vAlign w:val="bottom"/>
            <w:hideMark/>
          </w:tcPr>
          <w:p w14:paraId="21A1DEF5" w14:textId="77777777" w:rsidR="00237D87" w:rsidRPr="00B071B7" w:rsidRDefault="00237D87" w:rsidP="00237D87">
            <w:pPr>
              <w:spacing w:after="0" w:line="240" w:lineRule="auto"/>
              <w:rPr>
                <w:color w:val="000000"/>
              </w:rPr>
            </w:pPr>
            <w:r w:rsidRPr="00B071B7">
              <w:rPr>
                <w:color w:val="000000"/>
              </w:rPr>
              <w:t>.43</w:t>
            </w:r>
          </w:p>
        </w:tc>
      </w:tr>
      <w:tr w:rsidR="00237D87" w:rsidRPr="00B071B7" w14:paraId="6F319D63" w14:textId="77777777" w:rsidTr="00F866EA">
        <w:trPr>
          <w:trHeight w:val="300"/>
        </w:trPr>
        <w:tc>
          <w:tcPr>
            <w:tcW w:w="2082" w:type="dxa"/>
            <w:tcBorders>
              <w:top w:val="nil"/>
              <w:left w:val="nil"/>
              <w:bottom w:val="nil"/>
              <w:right w:val="nil"/>
            </w:tcBorders>
            <w:shd w:val="clear" w:color="auto" w:fill="auto"/>
            <w:noWrap/>
            <w:vAlign w:val="bottom"/>
            <w:hideMark/>
          </w:tcPr>
          <w:p w14:paraId="621BB32F" w14:textId="77777777" w:rsidR="00237D87" w:rsidRPr="0021398F" w:rsidRDefault="00237D87" w:rsidP="00237D87">
            <w:pPr>
              <w:spacing w:after="0" w:line="240" w:lineRule="auto"/>
              <w:jc w:val="left"/>
              <w:rPr>
                <w:color w:val="000000"/>
              </w:rPr>
            </w:pPr>
            <w:r w:rsidRPr="0021398F">
              <w:rPr>
                <w:color w:val="000000"/>
              </w:rPr>
              <w:t>United Kingdom</w:t>
            </w:r>
          </w:p>
        </w:tc>
        <w:tc>
          <w:tcPr>
            <w:tcW w:w="1426" w:type="dxa"/>
            <w:tcBorders>
              <w:top w:val="nil"/>
              <w:left w:val="nil"/>
              <w:bottom w:val="nil"/>
              <w:right w:val="nil"/>
            </w:tcBorders>
            <w:shd w:val="clear" w:color="auto" w:fill="auto"/>
            <w:noWrap/>
            <w:vAlign w:val="bottom"/>
            <w:hideMark/>
          </w:tcPr>
          <w:p w14:paraId="5BB5F2BB" w14:textId="6CC0A337" w:rsidR="00237D87" w:rsidRPr="00B071B7" w:rsidRDefault="00237D87" w:rsidP="00237D87">
            <w:pPr>
              <w:spacing w:after="0" w:line="240" w:lineRule="auto"/>
              <w:rPr>
                <w:color w:val="000000"/>
              </w:rPr>
            </w:pPr>
            <w:r>
              <w:rPr>
                <w:color w:val="000000"/>
              </w:rPr>
              <w:t>.85</w:t>
            </w:r>
          </w:p>
        </w:tc>
        <w:tc>
          <w:tcPr>
            <w:tcW w:w="1462" w:type="dxa"/>
            <w:tcBorders>
              <w:top w:val="nil"/>
              <w:left w:val="nil"/>
              <w:bottom w:val="nil"/>
              <w:right w:val="nil"/>
            </w:tcBorders>
            <w:shd w:val="clear" w:color="auto" w:fill="auto"/>
            <w:noWrap/>
            <w:vAlign w:val="bottom"/>
            <w:hideMark/>
          </w:tcPr>
          <w:p w14:paraId="6E2DD5E9" w14:textId="79938545" w:rsidR="00237D87" w:rsidRPr="00B071B7" w:rsidRDefault="00237D87" w:rsidP="00237D87">
            <w:pPr>
              <w:spacing w:after="0" w:line="240" w:lineRule="auto"/>
              <w:rPr>
                <w:color w:val="000000"/>
              </w:rPr>
            </w:pPr>
            <w:r>
              <w:rPr>
                <w:color w:val="000000"/>
              </w:rPr>
              <w:t>.65</w:t>
            </w:r>
          </w:p>
        </w:tc>
        <w:tc>
          <w:tcPr>
            <w:tcW w:w="1559" w:type="dxa"/>
            <w:tcBorders>
              <w:top w:val="nil"/>
              <w:left w:val="nil"/>
              <w:bottom w:val="nil"/>
              <w:right w:val="nil"/>
            </w:tcBorders>
            <w:shd w:val="clear" w:color="auto" w:fill="auto"/>
            <w:noWrap/>
            <w:vAlign w:val="center"/>
            <w:hideMark/>
          </w:tcPr>
          <w:p w14:paraId="6F742DA6" w14:textId="77777777" w:rsidR="00237D87" w:rsidRPr="00B071B7" w:rsidRDefault="00237D87" w:rsidP="00237D87">
            <w:pPr>
              <w:spacing w:after="0" w:line="240" w:lineRule="auto"/>
              <w:rPr>
                <w:color w:val="000000"/>
              </w:rPr>
            </w:pPr>
            <w:r w:rsidRPr="00B071B7">
              <w:rPr>
                <w:color w:val="000000"/>
              </w:rPr>
              <w:t>.72</w:t>
            </w:r>
          </w:p>
        </w:tc>
        <w:tc>
          <w:tcPr>
            <w:tcW w:w="1496" w:type="dxa"/>
            <w:tcBorders>
              <w:top w:val="nil"/>
              <w:left w:val="nil"/>
              <w:bottom w:val="nil"/>
              <w:right w:val="nil"/>
            </w:tcBorders>
            <w:shd w:val="clear" w:color="auto" w:fill="auto"/>
            <w:noWrap/>
            <w:vAlign w:val="bottom"/>
            <w:hideMark/>
          </w:tcPr>
          <w:p w14:paraId="5708299F" w14:textId="77777777" w:rsidR="00237D87" w:rsidRPr="00B071B7" w:rsidRDefault="00237D87" w:rsidP="00237D87">
            <w:pPr>
              <w:spacing w:after="0" w:line="240" w:lineRule="auto"/>
              <w:rPr>
                <w:color w:val="000000"/>
              </w:rPr>
            </w:pPr>
            <w:r w:rsidRPr="00B071B7">
              <w:rPr>
                <w:color w:val="000000"/>
              </w:rPr>
              <w:t>.46</w:t>
            </w:r>
          </w:p>
        </w:tc>
      </w:tr>
      <w:tr w:rsidR="00237D87" w:rsidRPr="00B071B7" w14:paraId="79B73E43" w14:textId="77777777" w:rsidTr="00F866EA">
        <w:trPr>
          <w:trHeight w:val="300"/>
        </w:trPr>
        <w:tc>
          <w:tcPr>
            <w:tcW w:w="2082" w:type="dxa"/>
            <w:tcBorders>
              <w:top w:val="nil"/>
              <w:left w:val="nil"/>
              <w:bottom w:val="nil"/>
              <w:right w:val="nil"/>
            </w:tcBorders>
            <w:shd w:val="clear" w:color="auto" w:fill="auto"/>
            <w:noWrap/>
            <w:vAlign w:val="bottom"/>
            <w:hideMark/>
          </w:tcPr>
          <w:p w14:paraId="5D6FDCFE" w14:textId="77777777" w:rsidR="00237D87" w:rsidRPr="0021398F" w:rsidRDefault="00237D87" w:rsidP="00237D87">
            <w:pPr>
              <w:spacing w:after="0" w:line="240" w:lineRule="auto"/>
              <w:jc w:val="left"/>
              <w:rPr>
                <w:color w:val="000000"/>
              </w:rPr>
            </w:pPr>
            <w:r w:rsidRPr="0021398F">
              <w:rPr>
                <w:color w:val="000000"/>
              </w:rPr>
              <w:t>United States</w:t>
            </w:r>
          </w:p>
        </w:tc>
        <w:tc>
          <w:tcPr>
            <w:tcW w:w="1426" w:type="dxa"/>
            <w:tcBorders>
              <w:top w:val="nil"/>
              <w:left w:val="nil"/>
              <w:bottom w:val="nil"/>
              <w:right w:val="nil"/>
            </w:tcBorders>
            <w:shd w:val="clear" w:color="auto" w:fill="auto"/>
            <w:noWrap/>
            <w:vAlign w:val="bottom"/>
            <w:hideMark/>
          </w:tcPr>
          <w:p w14:paraId="277DEA32" w14:textId="4E85A134" w:rsidR="00237D87" w:rsidRPr="00B071B7" w:rsidRDefault="00237D87" w:rsidP="00237D87">
            <w:pPr>
              <w:spacing w:after="0" w:line="240" w:lineRule="auto"/>
              <w:rPr>
                <w:color w:val="000000"/>
              </w:rPr>
            </w:pPr>
            <w:r>
              <w:rPr>
                <w:color w:val="000000"/>
              </w:rPr>
              <w:t>.84</w:t>
            </w:r>
          </w:p>
        </w:tc>
        <w:tc>
          <w:tcPr>
            <w:tcW w:w="1462" w:type="dxa"/>
            <w:tcBorders>
              <w:top w:val="nil"/>
              <w:left w:val="nil"/>
              <w:bottom w:val="nil"/>
              <w:right w:val="nil"/>
            </w:tcBorders>
            <w:shd w:val="clear" w:color="auto" w:fill="auto"/>
            <w:noWrap/>
            <w:vAlign w:val="bottom"/>
            <w:hideMark/>
          </w:tcPr>
          <w:p w14:paraId="248E458D" w14:textId="031B69D5" w:rsidR="00237D87" w:rsidRPr="00B071B7" w:rsidRDefault="00237D87" w:rsidP="00237D87">
            <w:pPr>
              <w:spacing w:after="0" w:line="240" w:lineRule="auto"/>
              <w:rPr>
                <w:color w:val="000000"/>
              </w:rPr>
            </w:pPr>
            <w:r>
              <w:rPr>
                <w:color w:val="000000"/>
              </w:rPr>
              <w:t>.68</w:t>
            </w:r>
          </w:p>
        </w:tc>
        <w:tc>
          <w:tcPr>
            <w:tcW w:w="1559" w:type="dxa"/>
            <w:tcBorders>
              <w:top w:val="nil"/>
              <w:left w:val="nil"/>
              <w:bottom w:val="nil"/>
              <w:right w:val="nil"/>
            </w:tcBorders>
            <w:shd w:val="clear" w:color="auto" w:fill="auto"/>
            <w:noWrap/>
            <w:vAlign w:val="center"/>
            <w:hideMark/>
          </w:tcPr>
          <w:p w14:paraId="010EED58"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nil"/>
              <w:right w:val="nil"/>
            </w:tcBorders>
            <w:shd w:val="clear" w:color="auto" w:fill="auto"/>
            <w:noWrap/>
            <w:vAlign w:val="bottom"/>
            <w:hideMark/>
          </w:tcPr>
          <w:p w14:paraId="34B40882" w14:textId="77777777" w:rsidR="00237D87" w:rsidRPr="00B071B7" w:rsidRDefault="00237D87" w:rsidP="00237D87">
            <w:pPr>
              <w:spacing w:after="0" w:line="240" w:lineRule="auto"/>
              <w:rPr>
                <w:color w:val="000000"/>
              </w:rPr>
            </w:pPr>
            <w:r w:rsidRPr="00B071B7">
              <w:rPr>
                <w:color w:val="000000"/>
              </w:rPr>
              <w:t>.44</w:t>
            </w:r>
          </w:p>
        </w:tc>
      </w:tr>
      <w:tr w:rsidR="00237D87" w:rsidRPr="00B071B7" w14:paraId="54185B33" w14:textId="77777777" w:rsidTr="00F866EA">
        <w:trPr>
          <w:trHeight w:val="300"/>
        </w:trPr>
        <w:tc>
          <w:tcPr>
            <w:tcW w:w="2082" w:type="dxa"/>
            <w:tcBorders>
              <w:top w:val="nil"/>
              <w:left w:val="nil"/>
              <w:bottom w:val="single" w:sz="4" w:space="0" w:color="auto"/>
              <w:right w:val="nil"/>
            </w:tcBorders>
            <w:shd w:val="clear" w:color="auto" w:fill="auto"/>
            <w:noWrap/>
            <w:vAlign w:val="bottom"/>
            <w:hideMark/>
          </w:tcPr>
          <w:p w14:paraId="05DC9049" w14:textId="77777777" w:rsidR="00237D87" w:rsidRPr="0021398F" w:rsidRDefault="00237D87" w:rsidP="00237D87">
            <w:pPr>
              <w:spacing w:after="0" w:line="240" w:lineRule="auto"/>
              <w:jc w:val="left"/>
              <w:rPr>
                <w:color w:val="000000"/>
              </w:rPr>
            </w:pPr>
            <w:r w:rsidRPr="0021398F">
              <w:rPr>
                <w:color w:val="000000"/>
              </w:rPr>
              <w:t>Vietnam</w:t>
            </w:r>
          </w:p>
        </w:tc>
        <w:tc>
          <w:tcPr>
            <w:tcW w:w="1426" w:type="dxa"/>
            <w:tcBorders>
              <w:top w:val="nil"/>
              <w:left w:val="nil"/>
              <w:bottom w:val="single" w:sz="4" w:space="0" w:color="auto"/>
              <w:right w:val="nil"/>
            </w:tcBorders>
            <w:shd w:val="clear" w:color="auto" w:fill="auto"/>
            <w:noWrap/>
            <w:vAlign w:val="bottom"/>
            <w:hideMark/>
          </w:tcPr>
          <w:p w14:paraId="7997E6A8" w14:textId="6DEE89F1" w:rsidR="00237D87" w:rsidRPr="00B071B7" w:rsidRDefault="00237D87" w:rsidP="00237D87">
            <w:pPr>
              <w:spacing w:after="0" w:line="240" w:lineRule="auto"/>
              <w:rPr>
                <w:color w:val="000000"/>
              </w:rPr>
            </w:pPr>
            <w:r>
              <w:rPr>
                <w:color w:val="000000"/>
              </w:rPr>
              <w:t>.84</w:t>
            </w:r>
          </w:p>
        </w:tc>
        <w:tc>
          <w:tcPr>
            <w:tcW w:w="1462" w:type="dxa"/>
            <w:tcBorders>
              <w:top w:val="nil"/>
              <w:left w:val="nil"/>
              <w:bottom w:val="single" w:sz="4" w:space="0" w:color="auto"/>
              <w:right w:val="nil"/>
            </w:tcBorders>
            <w:shd w:val="clear" w:color="auto" w:fill="auto"/>
            <w:noWrap/>
            <w:vAlign w:val="bottom"/>
            <w:hideMark/>
          </w:tcPr>
          <w:p w14:paraId="5378A654" w14:textId="2000C1CB" w:rsidR="00237D87" w:rsidRPr="00B071B7" w:rsidRDefault="00237D87" w:rsidP="00237D87">
            <w:pPr>
              <w:spacing w:after="0" w:line="240" w:lineRule="auto"/>
              <w:rPr>
                <w:color w:val="000000"/>
              </w:rPr>
            </w:pPr>
            <w:r>
              <w:rPr>
                <w:color w:val="000000"/>
              </w:rPr>
              <w:t>.65</w:t>
            </w:r>
          </w:p>
        </w:tc>
        <w:tc>
          <w:tcPr>
            <w:tcW w:w="1559" w:type="dxa"/>
            <w:tcBorders>
              <w:top w:val="nil"/>
              <w:left w:val="nil"/>
              <w:bottom w:val="single" w:sz="4" w:space="0" w:color="auto"/>
              <w:right w:val="nil"/>
            </w:tcBorders>
            <w:shd w:val="clear" w:color="auto" w:fill="auto"/>
            <w:noWrap/>
            <w:vAlign w:val="center"/>
            <w:hideMark/>
          </w:tcPr>
          <w:p w14:paraId="5691C28D" w14:textId="77777777" w:rsidR="00237D87" w:rsidRPr="00B071B7" w:rsidRDefault="00237D87" w:rsidP="00237D87">
            <w:pPr>
              <w:spacing w:after="0" w:line="240" w:lineRule="auto"/>
              <w:rPr>
                <w:color w:val="000000"/>
              </w:rPr>
            </w:pPr>
            <w:r w:rsidRPr="00B071B7">
              <w:rPr>
                <w:color w:val="000000"/>
              </w:rPr>
              <w:t>.69</w:t>
            </w:r>
          </w:p>
        </w:tc>
        <w:tc>
          <w:tcPr>
            <w:tcW w:w="1496" w:type="dxa"/>
            <w:tcBorders>
              <w:top w:val="nil"/>
              <w:left w:val="nil"/>
              <w:bottom w:val="single" w:sz="4" w:space="0" w:color="auto"/>
              <w:right w:val="nil"/>
            </w:tcBorders>
            <w:shd w:val="clear" w:color="auto" w:fill="auto"/>
            <w:noWrap/>
            <w:vAlign w:val="bottom"/>
            <w:hideMark/>
          </w:tcPr>
          <w:p w14:paraId="30E1737D" w14:textId="77777777" w:rsidR="00237D87" w:rsidRPr="00B071B7" w:rsidRDefault="00237D87" w:rsidP="00237D87">
            <w:pPr>
              <w:spacing w:after="0" w:line="240" w:lineRule="auto"/>
              <w:rPr>
                <w:color w:val="000000"/>
              </w:rPr>
            </w:pPr>
            <w:r w:rsidRPr="00B071B7">
              <w:rPr>
                <w:color w:val="000000"/>
              </w:rPr>
              <w:t>.47</w:t>
            </w:r>
          </w:p>
        </w:tc>
      </w:tr>
      <w:tr w:rsidR="009177AB" w:rsidRPr="00B071B7" w14:paraId="5F458855" w14:textId="77777777" w:rsidTr="00F866EA">
        <w:trPr>
          <w:trHeight w:val="300"/>
        </w:trPr>
        <w:tc>
          <w:tcPr>
            <w:tcW w:w="2082" w:type="dxa"/>
            <w:tcBorders>
              <w:top w:val="single" w:sz="4" w:space="0" w:color="auto"/>
              <w:left w:val="nil"/>
              <w:bottom w:val="single" w:sz="4" w:space="0" w:color="auto"/>
              <w:right w:val="nil"/>
            </w:tcBorders>
            <w:shd w:val="clear" w:color="auto" w:fill="auto"/>
            <w:noWrap/>
            <w:vAlign w:val="bottom"/>
            <w:hideMark/>
          </w:tcPr>
          <w:p w14:paraId="456F96BB" w14:textId="77777777" w:rsidR="009177AB" w:rsidRPr="0021398F" w:rsidRDefault="009177AB" w:rsidP="00F866EA">
            <w:pPr>
              <w:spacing w:after="0" w:line="240" w:lineRule="auto"/>
              <w:jc w:val="left"/>
              <w:rPr>
                <w:b/>
                <w:bCs/>
                <w:color w:val="000000"/>
              </w:rPr>
            </w:pPr>
            <w:r w:rsidRPr="0021398F">
              <w:rPr>
                <w:b/>
                <w:bCs/>
                <w:color w:val="000000"/>
              </w:rPr>
              <w:t>Average</w:t>
            </w:r>
          </w:p>
        </w:tc>
        <w:tc>
          <w:tcPr>
            <w:tcW w:w="1426" w:type="dxa"/>
            <w:tcBorders>
              <w:top w:val="single" w:sz="4" w:space="0" w:color="auto"/>
              <w:left w:val="nil"/>
              <w:bottom w:val="single" w:sz="4" w:space="0" w:color="auto"/>
              <w:right w:val="nil"/>
            </w:tcBorders>
            <w:shd w:val="clear" w:color="auto" w:fill="auto"/>
            <w:noWrap/>
            <w:vAlign w:val="bottom"/>
            <w:hideMark/>
          </w:tcPr>
          <w:p w14:paraId="64F670A7" w14:textId="5438F5E1" w:rsidR="009177AB" w:rsidRPr="00B071B7" w:rsidRDefault="009177AB" w:rsidP="00F866EA">
            <w:pPr>
              <w:spacing w:after="0" w:line="240" w:lineRule="auto"/>
              <w:rPr>
                <w:b/>
                <w:bCs/>
                <w:color w:val="000000"/>
              </w:rPr>
            </w:pPr>
            <w:r w:rsidRPr="00B071B7">
              <w:rPr>
                <w:b/>
                <w:bCs/>
                <w:color w:val="000000"/>
              </w:rPr>
              <w:t>.</w:t>
            </w:r>
            <w:r w:rsidR="00237D87">
              <w:rPr>
                <w:b/>
                <w:bCs/>
                <w:color w:val="000000"/>
              </w:rPr>
              <w:t>84</w:t>
            </w:r>
          </w:p>
        </w:tc>
        <w:tc>
          <w:tcPr>
            <w:tcW w:w="1462" w:type="dxa"/>
            <w:tcBorders>
              <w:top w:val="single" w:sz="4" w:space="0" w:color="auto"/>
              <w:left w:val="nil"/>
              <w:bottom w:val="single" w:sz="4" w:space="0" w:color="auto"/>
              <w:right w:val="nil"/>
            </w:tcBorders>
            <w:shd w:val="clear" w:color="auto" w:fill="auto"/>
            <w:noWrap/>
            <w:vAlign w:val="bottom"/>
            <w:hideMark/>
          </w:tcPr>
          <w:p w14:paraId="5D4CA603" w14:textId="12629264" w:rsidR="009177AB" w:rsidRPr="00B071B7" w:rsidRDefault="00237D87" w:rsidP="00F866EA">
            <w:pPr>
              <w:spacing w:after="0" w:line="240" w:lineRule="auto"/>
              <w:rPr>
                <w:b/>
                <w:bCs/>
                <w:color w:val="000000"/>
              </w:rPr>
            </w:pPr>
            <w:r>
              <w:rPr>
                <w:b/>
                <w:bCs/>
                <w:color w:val="000000"/>
              </w:rPr>
              <w:t>.60</w:t>
            </w:r>
          </w:p>
        </w:tc>
        <w:tc>
          <w:tcPr>
            <w:tcW w:w="1559" w:type="dxa"/>
            <w:tcBorders>
              <w:top w:val="single" w:sz="4" w:space="0" w:color="auto"/>
              <w:left w:val="nil"/>
              <w:bottom w:val="single" w:sz="4" w:space="0" w:color="auto"/>
              <w:right w:val="nil"/>
            </w:tcBorders>
            <w:shd w:val="clear" w:color="auto" w:fill="auto"/>
            <w:noWrap/>
            <w:vAlign w:val="bottom"/>
            <w:hideMark/>
          </w:tcPr>
          <w:p w14:paraId="608997C8" w14:textId="77777777" w:rsidR="009177AB" w:rsidRPr="00B071B7" w:rsidRDefault="009177AB" w:rsidP="00F866EA">
            <w:pPr>
              <w:spacing w:after="0" w:line="240" w:lineRule="auto"/>
              <w:rPr>
                <w:b/>
                <w:bCs/>
                <w:color w:val="000000"/>
              </w:rPr>
            </w:pPr>
            <w:r w:rsidRPr="00B071B7">
              <w:rPr>
                <w:b/>
                <w:bCs/>
                <w:color w:val="000000"/>
              </w:rPr>
              <w:t>.64</w:t>
            </w:r>
          </w:p>
        </w:tc>
        <w:tc>
          <w:tcPr>
            <w:tcW w:w="1496" w:type="dxa"/>
            <w:tcBorders>
              <w:top w:val="single" w:sz="4" w:space="0" w:color="auto"/>
              <w:left w:val="nil"/>
              <w:bottom w:val="single" w:sz="4" w:space="0" w:color="auto"/>
              <w:right w:val="nil"/>
            </w:tcBorders>
            <w:shd w:val="clear" w:color="auto" w:fill="auto"/>
            <w:noWrap/>
            <w:vAlign w:val="bottom"/>
            <w:hideMark/>
          </w:tcPr>
          <w:p w14:paraId="1990B391" w14:textId="77777777" w:rsidR="009177AB" w:rsidRPr="00B071B7" w:rsidRDefault="009177AB" w:rsidP="00F866EA">
            <w:pPr>
              <w:spacing w:after="0" w:line="240" w:lineRule="auto"/>
              <w:rPr>
                <w:b/>
                <w:bCs/>
                <w:color w:val="000000"/>
              </w:rPr>
            </w:pPr>
            <w:r w:rsidRPr="00B071B7">
              <w:rPr>
                <w:b/>
                <w:bCs/>
                <w:color w:val="000000"/>
              </w:rPr>
              <w:t>.47</w:t>
            </w:r>
          </w:p>
        </w:tc>
      </w:tr>
      <w:tr w:rsidR="009177AB" w:rsidRPr="00B071B7" w14:paraId="6ECE5098" w14:textId="77777777" w:rsidTr="00F866EA">
        <w:trPr>
          <w:trHeight w:val="300"/>
        </w:trPr>
        <w:tc>
          <w:tcPr>
            <w:tcW w:w="2082" w:type="dxa"/>
            <w:tcBorders>
              <w:top w:val="single" w:sz="4" w:space="0" w:color="auto"/>
              <w:left w:val="nil"/>
              <w:bottom w:val="single" w:sz="4" w:space="0" w:color="auto"/>
              <w:right w:val="nil"/>
            </w:tcBorders>
            <w:shd w:val="clear" w:color="auto" w:fill="auto"/>
            <w:noWrap/>
            <w:vAlign w:val="bottom"/>
            <w:hideMark/>
          </w:tcPr>
          <w:p w14:paraId="098C09BC" w14:textId="77777777" w:rsidR="009177AB" w:rsidRPr="0021398F" w:rsidRDefault="009177AB" w:rsidP="00F866EA">
            <w:pPr>
              <w:spacing w:after="0" w:line="240" w:lineRule="auto"/>
              <w:jc w:val="left"/>
              <w:rPr>
                <w:color w:val="000000"/>
              </w:rPr>
            </w:pPr>
            <w:r w:rsidRPr="0021398F">
              <w:rPr>
                <w:color w:val="000000"/>
              </w:rPr>
              <w:t>SD</w:t>
            </w:r>
          </w:p>
        </w:tc>
        <w:tc>
          <w:tcPr>
            <w:tcW w:w="1426" w:type="dxa"/>
            <w:tcBorders>
              <w:top w:val="single" w:sz="4" w:space="0" w:color="auto"/>
              <w:left w:val="nil"/>
              <w:bottom w:val="single" w:sz="4" w:space="0" w:color="auto"/>
              <w:right w:val="nil"/>
            </w:tcBorders>
            <w:shd w:val="clear" w:color="auto" w:fill="auto"/>
            <w:noWrap/>
            <w:vAlign w:val="bottom"/>
            <w:hideMark/>
          </w:tcPr>
          <w:p w14:paraId="5C5E3781" w14:textId="544EA1A4" w:rsidR="009177AB" w:rsidRPr="00B071B7" w:rsidRDefault="00237D87" w:rsidP="00F866EA">
            <w:pPr>
              <w:spacing w:after="0" w:line="240" w:lineRule="auto"/>
              <w:rPr>
                <w:color w:val="000000"/>
              </w:rPr>
            </w:pPr>
            <w:r>
              <w:rPr>
                <w:color w:val="000000"/>
              </w:rPr>
              <w:t>.03</w:t>
            </w:r>
          </w:p>
        </w:tc>
        <w:tc>
          <w:tcPr>
            <w:tcW w:w="1462" w:type="dxa"/>
            <w:tcBorders>
              <w:top w:val="single" w:sz="4" w:space="0" w:color="auto"/>
              <w:left w:val="nil"/>
              <w:bottom w:val="single" w:sz="4" w:space="0" w:color="auto"/>
              <w:right w:val="nil"/>
            </w:tcBorders>
            <w:shd w:val="clear" w:color="auto" w:fill="auto"/>
            <w:noWrap/>
            <w:vAlign w:val="bottom"/>
            <w:hideMark/>
          </w:tcPr>
          <w:p w14:paraId="25843146" w14:textId="4DFCB71F" w:rsidR="009177AB" w:rsidRPr="00B071B7" w:rsidRDefault="00237D87" w:rsidP="00F866EA">
            <w:pPr>
              <w:spacing w:after="0" w:line="240" w:lineRule="auto"/>
              <w:rPr>
                <w:color w:val="000000"/>
              </w:rPr>
            </w:pPr>
            <w:r>
              <w:rPr>
                <w:color w:val="000000"/>
              </w:rPr>
              <w:t>.09</w:t>
            </w:r>
          </w:p>
        </w:tc>
        <w:tc>
          <w:tcPr>
            <w:tcW w:w="1559" w:type="dxa"/>
            <w:tcBorders>
              <w:top w:val="single" w:sz="4" w:space="0" w:color="auto"/>
              <w:left w:val="nil"/>
              <w:bottom w:val="single" w:sz="4" w:space="0" w:color="auto"/>
              <w:right w:val="nil"/>
            </w:tcBorders>
            <w:shd w:val="clear" w:color="auto" w:fill="auto"/>
            <w:noWrap/>
            <w:vAlign w:val="bottom"/>
            <w:hideMark/>
          </w:tcPr>
          <w:p w14:paraId="5B630300" w14:textId="77777777" w:rsidR="009177AB" w:rsidRPr="00B071B7" w:rsidRDefault="009177AB" w:rsidP="00F866EA">
            <w:pPr>
              <w:spacing w:after="0" w:line="240" w:lineRule="auto"/>
              <w:rPr>
                <w:color w:val="000000"/>
              </w:rPr>
            </w:pPr>
            <w:r w:rsidRPr="00B071B7">
              <w:rPr>
                <w:color w:val="000000"/>
              </w:rPr>
              <w:t>.07</w:t>
            </w:r>
          </w:p>
        </w:tc>
        <w:tc>
          <w:tcPr>
            <w:tcW w:w="1496" w:type="dxa"/>
            <w:tcBorders>
              <w:top w:val="single" w:sz="4" w:space="0" w:color="auto"/>
              <w:left w:val="nil"/>
              <w:bottom w:val="single" w:sz="4" w:space="0" w:color="auto"/>
              <w:right w:val="nil"/>
            </w:tcBorders>
            <w:shd w:val="clear" w:color="auto" w:fill="auto"/>
            <w:noWrap/>
            <w:vAlign w:val="bottom"/>
            <w:hideMark/>
          </w:tcPr>
          <w:p w14:paraId="0076F62A" w14:textId="77777777" w:rsidR="009177AB" w:rsidRPr="00B071B7" w:rsidRDefault="009177AB" w:rsidP="00F866EA">
            <w:pPr>
              <w:spacing w:after="0" w:line="240" w:lineRule="auto"/>
              <w:rPr>
                <w:color w:val="000000"/>
              </w:rPr>
            </w:pPr>
            <w:r w:rsidRPr="00B071B7">
              <w:rPr>
                <w:color w:val="000000"/>
              </w:rPr>
              <w:t>.05</w:t>
            </w:r>
          </w:p>
        </w:tc>
      </w:tr>
      <w:tr w:rsidR="00482D67" w:rsidRPr="00B071B7" w14:paraId="2CC607C1" w14:textId="77777777" w:rsidTr="004A3A35">
        <w:trPr>
          <w:trHeight w:val="300"/>
        </w:trPr>
        <w:tc>
          <w:tcPr>
            <w:tcW w:w="8025" w:type="dxa"/>
            <w:gridSpan w:val="5"/>
            <w:tcBorders>
              <w:top w:val="single" w:sz="4" w:space="0" w:color="auto"/>
              <w:left w:val="nil"/>
              <w:bottom w:val="single" w:sz="4" w:space="0" w:color="auto"/>
              <w:right w:val="nil"/>
            </w:tcBorders>
            <w:shd w:val="clear" w:color="auto" w:fill="auto"/>
            <w:noWrap/>
            <w:vAlign w:val="bottom"/>
          </w:tcPr>
          <w:p w14:paraId="41386D4D" w14:textId="7D9E2D6C" w:rsidR="00482D67" w:rsidRPr="00B071B7" w:rsidRDefault="00482D67" w:rsidP="00750ACB">
            <w:pPr>
              <w:spacing w:after="0" w:line="240" w:lineRule="auto"/>
              <w:jc w:val="left"/>
              <w:rPr>
                <w:color w:val="000000"/>
              </w:rPr>
            </w:pPr>
            <w:r w:rsidRPr="00B424C0">
              <w:rPr>
                <w:i/>
                <w:iCs/>
                <w:color w:val="000000"/>
              </w:rPr>
              <w:t>Note</w:t>
            </w:r>
            <w:r>
              <w:rPr>
                <w:color w:val="000000"/>
              </w:rPr>
              <w:t xml:space="preserve">. </w:t>
            </w:r>
            <w:r w:rsidRPr="00BC2FCF">
              <w:t>ω</w:t>
            </w:r>
            <w:r w:rsidRPr="00482D67">
              <w:rPr>
                <w:i/>
                <w:iCs/>
                <w:vertAlign w:val="subscript"/>
              </w:rPr>
              <w:t>t</w:t>
            </w:r>
            <w:r>
              <w:t xml:space="preserve"> = total common variance, </w:t>
            </w:r>
            <w:r w:rsidRPr="00BC2FCF">
              <w:t>ω</w:t>
            </w:r>
            <w:r w:rsidRPr="00482D67">
              <w:rPr>
                <w:i/>
                <w:iCs/>
                <w:vertAlign w:val="subscript"/>
              </w:rPr>
              <w:t>h</w:t>
            </w:r>
            <w:r>
              <w:t xml:space="preserve"> = general factor saturation, </w:t>
            </w:r>
            <w:r w:rsidRPr="00BC2FCF">
              <w:t>β</w:t>
            </w:r>
            <w:r>
              <w:t xml:space="preserve"> = smallest split half reliability, </w:t>
            </w:r>
            <m:oMath>
              <m:acc>
                <m:accPr>
                  <m:chr m:val="̅"/>
                  <m:ctrlPr>
                    <w:rPr>
                      <w:rFonts w:ascii="Cambria Math" w:hAnsi="Cambria Math"/>
                      <w:i/>
                      <w:iCs/>
                    </w:rPr>
                  </m:ctrlPr>
                </m:accPr>
                <m:e>
                  <m:r>
                    <w:rPr>
                      <w:rFonts w:ascii="Cambria Math" w:hAnsi="Cambria Math"/>
                    </w:rPr>
                    <m:t>h</m:t>
                  </m:r>
                </m:e>
              </m:acc>
            </m:oMath>
            <w:r w:rsidRPr="00582CB8">
              <w:rPr>
                <w:vertAlign w:val="superscript"/>
              </w:rPr>
              <w:t>2</w:t>
            </w:r>
            <w:r>
              <w:t xml:space="preserve"> = average communality score.</w:t>
            </w:r>
          </w:p>
        </w:tc>
      </w:tr>
    </w:tbl>
    <w:p w14:paraId="54D2DDA6" w14:textId="77777777" w:rsidR="009177AB" w:rsidRDefault="009177AB" w:rsidP="00C66D5C">
      <w:pPr>
        <w:spacing w:after="0"/>
        <w:ind w:firstLine="720"/>
        <w:jc w:val="left"/>
      </w:pPr>
    </w:p>
    <w:tbl>
      <w:tblPr>
        <w:tblW w:w="10190" w:type="dxa"/>
        <w:tblLook w:val="04A0" w:firstRow="1" w:lastRow="0" w:firstColumn="1" w:lastColumn="0" w:noHBand="0" w:noVBand="1"/>
      </w:tblPr>
      <w:tblGrid>
        <w:gridCol w:w="1846"/>
        <w:gridCol w:w="936"/>
        <w:gridCol w:w="882"/>
        <w:gridCol w:w="971"/>
        <w:gridCol w:w="918"/>
        <w:gridCol w:w="841"/>
        <w:gridCol w:w="787"/>
        <w:gridCol w:w="939"/>
        <w:gridCol w:w="885"/>
        <w:gridCol w:w="1185"/>
      </w:tblGrid>
      <w:tr w:rsidR="009177AB" w:rsidRPr="008D0761" w14:paraId="76664F9C" w14:textId="77777777" w:rsidTr="00237D87">
        <w:trPr>
          <w:trHeight w:val="319"/>
        </w:trPr>
        <w:tc>
          <w:tcPr>
            <w:tcW w:w="10190" w:type="dxa"/>
            <w:gridSpan w:val="10"/>
            <w:tcBorders>
              <w:left w:val="nil"/>
              <w:bottom w:val="single" w:sz="4" w:space="0" w:color="auto"/>
              <w:right w:val="nil"/>
            </w:tcBorders>
            <w:shd w:val="clear" w:color="auto" w:fill="auto"/>
            <w:noWrap/>
            <w:vAlign w:val="bottom"/>
          </w:tcPr>
          <w:p w14:paraId="25B6F1C8" w14:textId="77777777" w:rsidR="009177AB" w:rsidRPr="00A5066F" w:rsidRDefault="009177AB" w:rsidP="00F866EA">
            <w:pPr>
              <w:spacing w:after="0" w:line="240" w:lineRule="auto"/>
              <w:jc w:val="left"/>
              <w:rPr>
                <w:color w:val="000000"/>
              </w:rPr>
            </w:pPr>
            <w:r w:rsidRPr="00A5066F">
              <w:rPr>
                <w:color w:val="000000"/>
              </w:rPr>
              <w:t>Table 4</w:t>
            </w:r>
          </w:p>
        </w:tc>
      </w:tr>
      <w:tr w:rsidR="009177AB" w:rsidRPr="008D0761" w14:paraId="492799EB" w14:textId="77777777" w:rsidTr="00237D87">
        <w:trPr>
          <w:trHeight w:val="319"/>
        </w:trPr>
        <w:tc>
          <w:tcPr>
            <w:tcW w:w="10190" w:type="dxa"/>
            <w:gridSpan w:val="10"/>
            <w:tcBorders>
              <w:top w:val="single" w:sz="4" w:space="0" w:color="auto"/>
              <w:left w:val="nil"/>
              <w:bottom w:val="single" w:sz="4" w:space="0" w:color="auto"/>
              <w:right w:val="nil"/>
            </w:tcBorders>
            <w:shd w:val="clear" w:color="auto" w:fill="auto"/>
            <w:noWrap/>
            <w:vAlign w:val="bottom"/>
          </w:tcPr>
          <w:p w14:paraId="4E08F83A" w14:textId="77777777" w:rsidR="009177AB" w:rsidRPr="00A5066F" w:rsidRDefault="009177AB" w:rsidP="00F866EA">
            <w:pPr>
              <w:spacing w:after="0" w:line="240" w:lineRule="auto"/>
              <w:jc w:val="left"/>
              <w:rPr>
                <w:i/>
                <w:iCs/>
                <w:color w:val="000000"/>
              </w:rPr>
            </w:pPr>
            <w:r w:rsidRPr="00A5066F">
              <w:rPr>
                <w:i/>
                <w:iCs/>
                <w:color w:val="000000"/>
              </w:rPr>
              <w:t>Reliability Measures for the Subjective Happiness Scale (SHS) and Interdependent Happiness Scale (IHS) Averaged by Region</w:t>
            </w:r>
          </w:p>
        </w:tc>
      </w:tr>
      <w:tr w:rsidR="00237D87" w:rsidRPr="008D0761" w14:paraId="1D43FBF5" w14:textId="77777777" w:rsidTr="008A45BD">
        <w:trPr>
          <w:trHeight w:val="319"/>
        </w:trPr>
        <w:tc>
          <w:tcPr>
            <w:tcW w:w="0" w:type="auto"/>
            <w:tcBorders>
              <w:top w:val="single" w:sz="4" w:space="0" w:color="auto"/>
              <w:left w:val="nil"/>
              <w:bottom w:val="single" w:sz="4" w:space="0" w:color="auto"/>
              <w:right w:val="nil"/>
            </w:tcBorders>
            <w:shd w:val="clear" w:color="auto" w:fill="auto"/>
            <w:noWrap/>
            <w:vAlign w:val="bottom"/>
            <w:hideMark/>
          </w:tcPr>
          <w:p w14:paraId="0F48A5D7" w14:textId="77777777" w:rsidR="00237D87" w:rsidRPr="008D0761" w:rsidRDefault="00237D87" w:rsidP="00237D87">
            <w:pPr>
              <w:spacing w:after="0" w:line="240" w:lineRule="auto"/>
              <w:jc w:val="left"/>
              <w:rPr>
                <w:color w:val="000000"/>
              </w:rPr>
            </w:pPr>
            <w:r w:rsidRPr="008D0761">
              <w:rPr>
                <w:color w:val="000000"/>
              </w:rPr>
              <w:t>Region</w:t>
            </w:r>
          </w:p>
        </w:tc>
        <w:tc>
          <w:tcPr>
            <w:tcW w:w="0" w:type="auto"/>
            <w:tcBorders>
              <w:top w:val="single" w:sz="4" w:space="0" w:color="auto"/>
              <w:left w:val="nil"/>
              <w:bottom w:val="single" w:sz="4" w:space="0" w:color="auto"/>
              <w:right w:val="nil"/>
            </w:tcBorders>
            <w:shd w:val="clear" w:color="auto" w:fill="auto"/>
            <w:noWrap/>
            <w:vAlign w:val="center"/>
            <w:hideMark/>
          </w:tcPr>
          <w:p w14:paraId="710ED7EF" w14:textId="35FF063D" w:rsidR="00237D87" w:rsidRPr="008D0761" w:rsidRDefault="00237D87" w:rsidP="00237D87">
            <w:pPr>
              <w:spacing w:after="0" w:line="240" w:lineRule="auto"/>
              <w:rPr>
                <w:color w:val="000000"/>
              </w:rPr>
            </w:pPr>
            <w:r>
              <w:rPr>
                <w:color w:val="000000"/>
              </w:rPr>
              <w:t xml:space="preserve">SHS </w:t>
            </w:r>
            <w:r>
              <w:rPr>
                <w:i/>
                <w:iCs/>
                <w:color w:val="000000"/>
              </w:rPr>
              <w:t>ω</w:t>
            </w:r>
            <w:r>
              <w:rPr>
                <w:i/>
                <w:iCs/>
                <w:color w:val="000000"/>
                <w:vertAlign w:val="subscript"/>
              </w:rPr>
              <w:t>t</w:t>
            </w:r>
          </w:p>
        </w:tc>
        <w:tc>
          <w:tcPr>
            <w:tcW w:w="0" w:type="auto"/>
            <w:tcBorders>
              <w:top w:val="single" w:sz="4" w:space="0" w:color="auto"/>
              <w:left w:val="nil"/>
              <w:bottom w:val="single" w:sz="4" w:space="0" w:color="auto"/>
              <w:right w:val="nil"/>
            </w:tcBorders>
            <w:shd w:val="clear" w:color="auto" w:fill="auto"/>
            <w:noWrap/>
            <w:vAlign w:val="center"/>
            <w:hideMark/>
          </w:tcPr>
          <w:p w14:paraId="617ED9D1" w14:textId="5B1D3C8B" w:rsidR="00237D87" w:rsidRPr="008D0761" w:rsidRDefault="00237D87" w:rsidP="00237D87">
            <w:pPr>
              <w:spacing w:after="0" w:line="240" w:lineRule="auto"/>
              <w:rPr>
                <w:color w:val="000000"/>
              </w:rPr>
            </w:pPr>
            <w:r>
              <w:rPr>
                <w:color w:val="000000"/>
              </w:rPr>
              <w:t xml:space="preserve">IHS </w:t>
            </w:r>
            <w:r>
              <w:rPr>
                <w:i/>
                <w:iCs/>
                <w:color w:val="000000"/>
              </w:rPr>
              <w:t>ω</w:t>
            </w:r>
            <w:r>
              <w:rPr>
                <w:i/>
                <w:iCs/>
                <w:color w:val="000000"/>
                <w:vertAlign w:val="subscript"/>
              </w:rPr>
              <w:t>t</w:t>
            </w:r>
          </w:p>
        </w:tc>
        <w:tc>
          <w:tcPr>
            <w:tcW w:w="0" w:type="auto"/>
            <w:tcBorders>
              <w:top w:val="single" w:sz="4" w:space="0" w:color="auto"/>
              <w:left w:val="nil"/>
              <w:bottom w:val="single" w:sz="4" w:space="0" w:color="auto"/>
              <w:right w:val="nil"/>
            </w:tcBorders>
            <w:shd w:val="clear" w:color="auto" w:fill="auto"/>
            <w:noWrap/>
            <w:vAlign w:val="center"/>
            <w:hideMark/>
          </w:tcPr>
          <w:p w14:paraId="5A7719A4" w14:textId="44067ADB" w:rsidR="00237D87" w:rsidRPr="008D0761" w:rsidRDefault="00237D87" w:rsidP="00237D87">
            <w:pPr>
              <w:spacing w:after="0" w:line="240" w:lineRule="auto"/>
              <w:rPr>
                <w:color w:val="000000"/>
              </w:rPr>
            </w:pPr>
            <w:r>
              <w:rPr>
                <w:color w:val="000000"/>
              </w:rPr>
              <w:t xml:space="preserve">SHS </w:t>
            </w:r>
            <w:r>
              <w:rPr>
                <w:i/>
                <w:iCs/>
                <w:color w:val="000000"/>
              </w:rPr>
              <w:t>ω</w:t>
            </w:r>
            <w:r>
              <w:rPr>
                <w:i/>
                <w:iCs/>
                <w:color w:val="000000"/>
                <w:vertAlign w:val="subscript"/>
              </w:rPr>
              <w:t>h</w:t>
            </w:r>
          </w:p>
        </w:tc>
        <w:tc>
          <w:tcPr>
            <w:tcW w:w="0" w:type="auto"/>
            <w:tcBorders>
              <w:top w:val="single" w:sz="4" w:space="0" w:color="auto"/>
              <w:left w:val="nil"/>
              <w:bottom w:val="single" w:sz="4" w:space="0" w:color="auto"/>
              <w:right w:val="nil"/>
            </w:tcBorders>
            <w:shd w:val="clear" w:color="auto" w:fill="auto"/>
            <w:noWrap/>
            <w:vAlign w:val="center"/>
            <w:hideMark/>
          </w:tcPr>
          <w:p w14:paraId="261F85F1" w14:textId="77EF92BA" w:rsidR="00237D87" w:rsidRPr="008D0761" w:rsidRDefault="00237D87" w:rsidP="00237D87">
            <w:pPr>
              <w:spacing w:after="0" w:line="240" w:lineRule="auto"/>
              <w:rPr>
                <w:color w:val="000000"/>
              </w:rPr>
            </w:pPr>
            <w:r>
              <w:rPr>
                <w:color w:val="000000"/>
              </w:rPr>
              <w:t xml:space="preserve">IHS </w:t>
            </w:r>
            <w:r>
              <w:rPr>
                <w:i/>
                <w:iCs/>
                <w:color w:val="000000"/>
              </w:rPr>
              <w:t>ω</w:t>
            </w:r>
            <w:r>
              <w:rPr>
                <w:i/>
                <w:iCs/>
                <w:color w:val="000000"/>
                <w:vertAlign w:val="subscript"/>
              </w:rPr>
              <w:t>h</w:t>
            </w:r>
          </w:p>
        </w:tc>
        <w:tc>
          <w:tcPr>
            <w:tcW w:w="0" w:type="auto"/>
            <w:tcBorders>
              <w:top w:val="single" w:sz="4" w:space="0" w:color="auto"/>
              <w:left w:val="nil"/>
              <w:bottom w:val="single" w:sz="4" w:space="0" w:color="auto"/>
              <w:right w:val="nil"/>
            </w:tcBorders>
            <w:shd w:val="clear" w:color="auto" w:fill="auto"/>
            <w:noWrap/>
            <w:vAlign w:val="bottom"/>
            <w:hideMark/>
          </w:tcPr>
          <w:p w14:paraId="22622E77" w14:textId="77777777" w:rsidR="00237D87" w:rsidRPr="008D0761" w:rsidRDefault="00237D87" w:rsidP="00237D87">
            <w:pPr>
              <w:spacing w:after="0" w:line="240" w:lineRule="auto"/>
              <w:rPr>
                <w:color w:val="000000"/>
              </w:rPr>
            </w:pPr>
            <w:r w:rsidRPr="008D0761">
              <w:rPr>
                <w:color w:val="000000"/>
              </w:rPr>
              <w:t>SHS</w:t>
            </w:r>
            <w:r>
              <w:rPr>
                <w:color w:val="000000"/>
              </w:rPr>
              <w:t xml:space="preserve"> </w:t>
            </w:r>
            <w:r w:rsidRPr="001F6719">
              <w:rPr>
                <w:i/>
                <w:iCs/>
              </w:rPr>
              <w:t>β</w:t>
            </w:r>
          </w:p>
        </w:tc>
        <w:tc>
          <w:tcPr>
            <w:tcW w:w="0" w:type="auto"/>
            <w:tcBorders>
              <w:top w:val="single" w:sz="4" w:space="0" w:color="auto"/>
              <w:left w:val="nil"/>
              <w:bottom w:val="single" w:sz="4" w:space="0" w:color="auto"/>
              <w:right w:val="nil"/>
            </w:tcBorders>
            <w:shd w:val="clear" w:color="auto" w:fill="auto"/>
            <w:noWrap/>
            <w:vAlign w:val="bottom"/>
            <w:hideMark/>
          </w:tcPr>
          <w:p w14:paraId="2B9D62C0" w14:textId="77777777" w:rsidR="00237D87" w:rsidRPr="008D0761" w:rsidRDefault="00237D87" w:rsidP="00237D87">
            <w:pPr>
              <w:spacing w:after="0" w:line="240" w:lineRule="auto"/>
              <w:rPr>
                <w:color w:val="000000"/>
              </w:rPr>
            </w:pPr>
            <w:r>
              <w:rPr>
                <w:color w:val="000000"/>
              </w:rPr>
              <w:t xml:space="preserve">IHS </w:t>
            </w:r>
            <w:r w:rsidRPr="001F6719">
              <w:rPr>
                <w:i/>
                <w:iCs/>
              </w:rPr>
              <w:t>β</w:t>
            </w:r>
          </w:p>
        </w:tc>
        <w:tc>
          <w:tcPr>
            <w:tcW w:w="0" w:type="auto"/>
            <w:tcBorders>
              <w:top w:val="single" w:sz="4" w:space="0" w:color="auto"/>
              <w:left w:val="nil"/>
              <w:bottom w:val="single" w:sz="4" w:space="0" w:color="auto"/>
              <w:right w:val="nil"/>
            </w:tcBorders>
            <w:shd w:val="clear" w:color="auto" w:fill="auto"/>
            <w:noWrap/>
            <w:vAlign w:val="bottom"/>
            <w:hideMark/>
          </w:tcPr>
          <w:p w14:paraId="4FE21938" w14:textId="77777777" w:rsidR="00237D87" w:rsidRPr="008D0761" w:rsidRDefault="00237D87" w:rsidP="00237D87">
            <w:pPr>
              <w:spacing w:after="0" w:line="240" w:lineRule="auto"/>
              <w:rPr>
                <w:color w:val="000000"/>
              </w:rPr>
            </w:pPr>
            <w:r w:rsidRPr="008D0761">
              <w:rPr>
                <w:color w:val="000000"/>
              </w:rPr>
              <w:t>SHS</w:t>
            </w:r>
            <w:r>
              <w:rPr>
                <w:color w:val="000000"/>
              </w:rPr>
              <w:t xml:space="preserve">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0" w:type="auto"/>
            <w:tcBorders>
              <w:top w:val="single" w:sz="4" w:space="0" w:color="auto"/>
              <w:left w:val="nil"/>
              <w:bottom w:val="single" w:sz="4" w:space="0" w:color="auto"/>
              <w:right w:val="nil"/>
            </w:tcBorders>
            <w:shd w:val="clear" w:color="auto" w:fill="auto"/>
            <w:noWrap/>
            <w:vAlign w:val="bottom"/>
            <w:hideMark/>
          </w:tcPr>
          <w:p w14:paraId="2FEE5F66" w14:textId="77777777" w:rsidR="00237D87" w:rsidRPr="008D0761" w:rsidRDefault="00237D87" w:rsidP="00237D87">
            <w:pPr>
              <w:spacing w:after="0" w:line="240" w:lineRule="auto"/>
              <w:rPr>
                <w:color w:val="000000"/>
              </w:rPr>
            </w:pPr>
            <w:r w:rsidRPr="008D0761">
              <w:rPr>
                <w:color w:val="000000"/>
              </w:rPr>
              <w:t>IHS</w:t>
            </w:r>
            <w:r>
              <w:rPr>
                <w:color w:val="000000"/>
              </w:rPr>
              <w:t xml:space="preserve">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1178" w:type="dxa"/>
            <w:tcBorders>
              <w:top w:val="single" w:sz="4" w:space="0" w:color="auto"/>
              <w:left w:val="nil"/>
              <w:bottom w:val="single" w:sz="4" w:space="0" w:color="auto"/>
              <w:right w:val="nil"/>
            </w:tcBorders>
            <w:shd w:val="clear" w:color="auto" w:fill="auto"/>
            <w:noWrap/>
            <w:vAlign w:val="bottom"/>
            <w:hideMark/>
          </w:tcPr>
          <w:p w14:paraId="66CE8EAA" w14:textId="77777777" w:rsidR="00237D87" w:rsidRPr="008D0761" w:rsidRDefault="00237D87" w:rsidP="00237D87">
            <w:pPr>
              <w:spacing w:after="0" w:line="240" w:lineRule="auto"/>
              <w:rPr>
                <w:color w:val="000000"/>
              </w:rPr>
            </w:pPr>
            <w:r w:rsidRPr="008D0761">
              <w:rPr>
                <w:color w:val="000000"/>
              </w:rPr>
              <w:t>IHS</w:t>
            </w:r>
            <w:r>
              <w:rPr>
                <w:color w:val="000000"/>
              </w:rPr>
              <w:t>x</w:t>
            </w:r>
            <w:r w:rsidRPr="008D0761">
              <w:rPr>
                <w:color w:val="000000"/>
              </w:rPr>
              <w:t>SHS</w:t>
            </w:r>
          </w:p>
        </w:tc>
      </w:tr>
      <w:tr w:rsidR="00237D87" w:rsidRPr="008D0761" w14:paraId="48767432" w14:textId="77777777" w:rsidTr="008A45BD">
        <w:trPr>
          <w:trHeight w:val="319"/>
        </w:trPr>
        <w:tc>
          <w:tcPr>
            <w:tcW w:w="0" w:type="auto"/>
            <w:tcBorders>
              <w:top w:val="single" w:sz="4" w:space="0" w:color="auto"/>
              <w:left w:val="nil"/>
              <w:bottom w:val="nil"/>
              <w:right w:val="nil"/>
            </w:tcBorders>
            <w:shd w:val="clear" w:color="auto" w:fill="auto"/>
            <w:noWrap/>
            <w:vAlign w:val="bottom"/>
            <w:hideMark/>
          </w:tcPr>
          <w:p w14:paraId="5425A491" w14:textId="77777777" w:rsidR="00237D87" w:rsidRPr="008D0761" w:rsidRDefault="00237D87" w:rsidP="00237D87">
            <w:pPr>
              <w:spacing w:after="0" w:line="240" w:lineRule="auto"/>
              <w:jc w:val="left"/>
              <w:rPr>
                <w:color w:val="000000"/>
              </w:rPr>
            </w:pPr>
            <w:r w:rsidRPr="008D0761">
              <w:rPr>
                <w:color w:val="000000"/>
              </w:rPr>
              <w:t>West English</w:t>
            </w:r>
          </w:p>
        </w:tc>
        <w:tc>
          <w:tcPr>
            <w:tcW w:w="0" w:type="auto"/>
            <w:tcBorders>
              <w:top w:val="single" w:sz="4" w:space="0" w:color="auto"/>
              <w:left w:val="nil"/>
              <w:bottom w:val="nil"/>
              <w:right w:val="nil"/>
            </w:tcBorders>
            <w:shd w:val="clear" w:color="auto" w:fill="auto"/>
            <w:noWrap/>
            <w:vAlign w:val="center"/>
            <w:hideMark/>
          </w:tcPr>
          <w:p w14:paraId="43274237" w14:textId="5B611048" w:rsidR="00237D87" w:rsidRPr="008D0761" w:rsidRDefault="00237D87" w:rsidP="00237D87">
            <w:pPr>
              <w:spacing w:after="0" w:line="240" w:lineRule="auto"/>
              <w:rPr>
                <w:color w:val="000000"/>
              </w:rPr>
            </w:pPr>
            <w:r>
              <w:rPr>
                <w:color w:val="000000"/>
              </w:rPr>
              <w:t>.88</w:t>
            </w:r>
          </w:p>
        </w:tc>
        <w:tc>
          <w:tcPr>
            <w:tcW w:w="0" w:type="auto"/>
            <w:tcBorders>
              <w:top w:val="single" w:sz="4" w:space="0" w:color="auto"/>
              <w:left w:val="nil"/>
              <w:bottom w:val="nil"/>
              <w:right w:val="nil"/>
            </w:tcBorders>
            <w:shd w:val="clear" w:color="auto" w:fill="auto"/>
            <w:noWrap/>
            <w:vAlign w:val="center"/>
            <w:hideMark/>
          </w:tcPr>
          <w:p w14:paraId="54241544" w14:textId="4E17A2C3" w:rsidR="00237D87" w:rsidRPr="008D0761" w:rsidRDefault="00237D87" w:rsidP="00237D87">
            <w:pPr>
              <w:spacing w:after="0" w:line="240" w:lineRule="auto"/>
              <w:rPr>
                <w:color w:val="000000"/>
              </w:rPr>
            </w:pPr>
            <w:r>
              <w:rPr>
                <w:color w:val="000000"/>
              </w:rPr>
              <w:t>.85</w:t>
            </w:r>
          </w:p>
        </w:tc>
        <w:tc>
          <w:tcPr>
            <w:tcW w:w="0" w:type="auto"/>
            <w:tcBorders>
              <w:top w:val="single" w:sz="4" w:space="0" w:color="auto"/>
              <w:left w:val="nil"/>
              <w:bottom w:val="nil"/>
              <w:right w:val="nil"/>
            </w:tcBorders>
            <w:shd w:val="clear" w:color="auto" w:fill="auto"/>
            <w:noWrap/>
            <w:vAlign w:val="center"/>
            <w:hideMark/>
          </w:tcPr>
          <w:p w14:paraId="0750B104" w14:textId="7ED68725" w:rsidR="00237D87" w:rsidRPr="008D0761" w:rsidRDefault="00237D87" w:rsidP="00237D87">
            <w:pPr>
              <w:spacing w:after="0" w:line="240" w:lineRule="auto"/>
              <w:rPr>
                <w:color w:val="000000"/>
              </w:rPr>
            </w:pPr>
            <w:r>
              <w:rPr>
                <w:color w:val="000000"/>
              </w:rPr>
              <w:t>.64</w:t>
            </w:r>
          </w:p>
        </w:tc>
        <w:tc>
          <w:tcPr>
            <w:tcW w:w="0" w:type="auto"/>
            <w:tcBorders>
              <w:top w:val="single" w:sz="4" w:space="0" w:color="auto"/>
              <w:left w:val="nil"/>
              <w:bottom w:val="nil"/>
              <w:right w:val="nil"/>
            </w:tcBorders>
            <w:shd w:val="clear" w:color="auto" w:fill="auto"/>
            <w:noWrap/>
            <w:vAlign w:val="center"/>
            <w:hideMark/>
          </w:tcPr>
          <w:p w14:paraId="3DA39BBA" w14:textId="5F888D2D" w:rsidR="00237D87" w:rsidRPr="008D0761" w:rsidRDefault="00237D87" w:rsidP="00237D87">
            <w:pPr>
              <w:spacing w:after="0" w:line="240" w:lineRule="auto"/>
              <w:rPr>
                <w:color w:val="000000"/>
              </w:rPr>
            </w:pPr>
            <w:r>
              <w:rPr>
                <w:color w:val="000000"/>
              </w:rPr>
              <w:t>.66</w:t>
            </w:r>
          </w:p>
        </w:tc>
        <w:tc>
          <w:tcPr>
            <w:tcW w:w="0" w:type="auto"/>
            <w:tcBorders>
              <w:top w:val="single" w:sz="4" w:space="0" w:color="auto"/>
              <w:left w:val="nil"/>
              <w:bottom w:val="nil"/>
              <w:right w:val="nil"/>
            </w:tcBorders>
            <w:shd w:val="clear" w:color="auto" w:fill="auto"/>
            <w:noWrap/>
            <w:vAlign w:val="bottom"/>
            <w:hideMark/>
          </w:tcPr>
          <w:p w14:paraId="489A0E07" w14:textId="77777777" w:rsidR="00237D87" w:rsidRPr="008D0761" w:rsidRDefault="00237D87" w:rsidP="00237D87">
            <w:pPr>
              <w:spacing w:after="0" w:line="240" w:lineRule="auto"/>
              <w:rPr>
                <w:color w:val="000000"/>
              </w:rPr>
            </w:pPr>
            <w:r w:rsidRPr="008D0761">
              <w:rPr>
                <w:color w:val="000000"/>
              </w:rPr>
              <w:t>.84</w:t>
            </w:r>
          </w:p>
        </w:tc>
        <w:tc>
          <w:tcPr>
            <w:tcW w:w="0" w:type="auto"/>
            <w:tcBorders>
              <w:top w:val="single" w:sz="4" w:space="0" w:color="auto"/>
              <w:left w:val="nil"/>
              <w:bottom w:val="nil"/>
              <w:right w:val="nil"/>
            </w:tcBorders>
            <w:shd w:val="clear" w:color="auto" w:fill="auto"/>
            <w:noWrap/>
            <w:vAlign w:val="bottom"/>
            <w:hideMark/>
          </w:tcPr>
          <w:p w14:paraId="59190C1E" w14:textId="77777777" w:rsidR="00237D87" w:rsidRPr="008D0761" w:rsidRDefault="00237D87" w:rsidP="00237D87">
            <w:pPr>
              <w:spacing w:after="0" w:line="240" w:lineRule="auto"/>
              <w:rPr>
                <w:color w:val="000000"/>
              </w:rPr>
            </w:pPr>
            <w:r w:rsidRPr="008D0761">
              <w:rPr>
                <w:color w:val="000000"/>
              </w:rPr>
              <w:t>.70</w:t>
            </w:r>
          </w:p>
        </w:tc>
        <w:tc>
          <w:tcPr>
            <w:tcW w:w="0" w:type="auto"/>
            <w:tcBorders>
              <w:top w:val="single" w:sz="4" w:space="0" w:color="auto"/>
              <w:left w:val="nil"/>
              <w:bottom w:val="nil"/>
              <w:right w:val="nil"/>
            </w:tcBorders>
            <w:shd w:val="clear" w:color="auto" w:fill="auto"/>
            <w:noWrap/>
            <w:vAlign w:val="bottom"/>
            <w:hideMark/>
          </w:tcPr>
          <w:p w14:paraId="30F2B21E" w14:textId="77777777" w:rsidR="00237D87" w:rsidRPr="008D0761" w:rsidRDefault="00237D87" w:rsidP="00237D87">
            <w:pPr>
              <w:spacing w:after="0" w:line="240" w:lineRule="auto"/>
              <w:rPr>
                <w:color w:val="000000"/>
              </w:rPr>
            </w:pPr>
            <w:r w:rsidRPr="008D0761">
              <w:rPr>
                <w:color w:val="000000"/>
              </w:rPr>
              <w:t>.66</w:t>
            </w:r>
          </w:p>
        </w:tc>
        <w:tc>
          <w:tcPr>
            <w:tcW w:w="0" w:type="auto"/>
            <w:tcBorders>
              <w:top w:val="single" w:sz="4" w:space="0" w:color="auto"/>
              <w:left w:val="nil"/>
              <w:bottom w:val="nil"/>
              <w:right w:val="nil"/>
            </w:tcBorders>
            <w:shd w:val="clear" w:color="auto" w:fill="auto"/>
            <w:noWrap/>
            <w:vAlign w:val="bottom"/>
            <w:hideMark/>
          </w:tcPr>
          <w:p w14:paraId="69A7ECDB" w14:textId="77777777" w:rsidR="00237D87" w:rsidRPr="008D0761" w:rsidRDefault="00237D87" w:rsidP="00237D87">
            <w:pPr>
              <w:spacing w:after="0" w:line="240" w:lineRule="auto"/>
              <w:rPr>
                <w:color w:val="000000"/>
              </w:rPr>
            </w:pPr>
            <w:r w:rsidRPr="008D0761">
              <w:rPr>
                <w:color w:val="000000"/>
              </w:rPr>
              <w:t>.48</w:t>
            </w:r>
          </w:p>
        </w:tc>
        <w:tc>
          <w:tcPr>
            <w:tcW w:w="1178" w:type="dxa"/>
            <w:tcBorders>
              <w:top w:val="single" w:sz="4" w:space="0" w:color="auto"/>
              <w:left w:val="nil"/>
              <w:bottom w:val="nil"/>
              <w:right w:val="nil"/>
            </w:tcBorders>
            <w:shd w:val="clear" w:color="auto" w:fill="auto"/>
            <w:noWrap/>
            <w:vAlign w:val="bottom"/>
            <w:hideMark/>
          </w:tcPr>
          <w:p w14:paraId="6A368418" w14:textId="77777777" w:rsidR="00237D87" w:rsidRPr="008D0761" w:rsidRDefault="00237D87" w:rsidP="00237D87">
            <w:pPr>
              <w:spacing w:after="0" w:line="240" w:lineRule="auto"/>
              <w:rPr>
                <w:color w:val="000000"/>
              </w:rPr>
            </w:pPr>
            <w:r w:rsidRPr="00496153">
              <w:rPr>
                <w:color w:val="000000"/>
              </w:rPr>
              <w:t>.66</w:t>
            </w:r>
          </w:p>
        </w:tc>
      </w:tr>
      <w:tr w:rsidR="00237D87" w:rsidRPr="008D0761" w14:paraId="31D7525C" w14:textId="77777777" w:rsidTr="008A45BD">
        <w:trPr>
          <w:trHeight w:val="319"/>
        </w:trPr>
        <w:tc>
          <w:tcPr>
            <w:tcW w:w="0" w:type="auto"/>
            <w:tcBorders>
              <w:top w:val="nil"/>
              <w:left w:val="nil"/>
              <w:bottom w:val="nil"/>
              <w:right w:val="nil"/>
            </w:tcBorders>
            <w:shd w:val="clear" w:color="auto" w:fill="auto"/>
            <w:noWrap/>
            <w:vAlign w:val="bottom"/>
            <w:hideMark/>
          </w:tcPr>
          <w:p w14:paraId="03547616" w14:textId="77777777" w:rsidR="00237D87" w:rsidRPr="008D0761" w:rsidRDefault="00237D87" w:rsidP="00237D87">
            <w:pPr>
              <w:spacing w:after="0" w:line="240" w:lineRule="auto"/>
              <w:jc w:val="left"/>
              <w:rPr>
                <w:color w:val="000000"/>
              </w:rPr>
            </w:pPr>
            <w:r w:rsidRPr="008D0761">
              <w:rPr>
                <w:color w:val="000000"/>
              </w:rPr>
              <w:t>Western Europe</w:t>
            </w:r>
          </w:p>
        </w:tc>
        <w:tc>
          <w:tcPr>
            <w:tcW w:w="0" w:type="auto"/>
            <w:tcBorders>
              <w:top w:val="nil"/>
              <w:left w:val="nil"/>
              <w:bottom w:val="nil"/>
              <w:right w:val="nil"/>
            </w:tcBorders>
            <w:shd w:val="clear" w:color="auto" w:fill="auto"/>
            <w:noWrap/>
            <w:vAlign w:val="center"/>
            <w:hideMark/>
          </w:tcPr>
          <w:p w14:paraId="5A42EE40" w14:textId="5C881B3F" w:rsidR="00237D87" w:rsidRPr="008D0761" w:rsidRDefault="00237D87" w:rsidP="00237D87">
            <w:pPr>
              <w:spacing w:after="0" w:line="240" w:lineRule="auto"/>
              <w:rPr>
                <w:color w:val="000000"/>
              </w:rPr>
            </w:pPr>
            <w:r>
              <w:rPr>
                <w:color w:val="000000"/>
              </w:rPr>
              <w:t>.90</w:t>
            </w:r>
          </w:p>
        </w:tc>
        <w:tc>
          <w:tcPr>
            <w:tcW w:w="0" w:type="auto"/>
            <w:tcBorders>
              <w:top w:val="nil"/>
              <w:left w:val="nil"/>
              <w:bottom w:val="nil"/>
              <w:right w:val="nil"/>
            </w:tcBorders>
            <w:shd w:val="clear" w:color="auto" w:fill="auto"/>
            <w:noWrap/>
            <w:vAlign w:val="center"/>
            <w:hideMark/>
          </w:tcPr>
          <w:p w14:paraId="54BAF94C" w14:textId="0D3CD5E1" w:rsidR="00237D87" w:rsidRPr="008D0761" w:rsidRDefault="00237D87" w:rsidP="00237D87">
            <w:pPr>
              <w:spacing w:after="0" w:line="240" w:lineRule="auto"/>
              <w:rPr>
                <w:color w:val="000000"/>
              </w:rPr>
            </w:pPr>
            <w:r>
              <w:rPr>
                <w:color w:val="000000"/>
              </w:rPr>
              <w:t>.83</w:t>
            </w:r>
          </w:p>
        </w:tc>
        <w:tc>
          <w:tcPr>
            <w:tcW w:w="0" w:type="auto"/>
            <w:tcBorders>
              <w:top w:val="nil"/>
              <w:left w:val="nil"/>
              <w:bottom w:val="nil"/>
              <w:right w:val="nil"/>
            </w:tcBorders>
            <w:shd w:val="clear" w:color="auto" w:fill="auto"/>
            <w:noWrap/>
            <w:vAlign w:val="center"/>
            <w:hideMark/>
          </w:tcPr>
          <w:p w14:paraId="23FAC69B" w14:textId="621CED0F" w:rsidR="00237D87" w:rsidRPr="008D0761" w:rsidRDefault="00237D87" w:rsidP="00237D87">
            <w:pPr>
              <w:spacing w:after="0" w:line="240" w:lineRule="auto"/>
              <w:rPr>
                <w:color w:val="000000"/>
              </w:rPr>
            </w:pPr>
            <w:r>
              <w:rPr>
                <w:color w:val="000000"/>
              </w:rPr>
              <w:t>.85</w:t>
            </w:r>
          </w:p>
        </w:tc>
        <w:tc>
          <w:tcPr>
            <w:tcW w:w="0" w:type="auto"/>
            <w:tcBorders>
              <w:top w:val="nil"/>
              <w:left w:val="nil"/>
              <w:bottom w:val="nil"/>
              <w:right w:val="nil"/>
            </w:tcBorders>
            <w:shd w:val="clear" w:color="auto" w:fill="auto"/>
            <w:noWrap/>
            <w:vAlign w:val="center"/>
            <w:hideMark/>
          </w:tcPr>
          <w:p w14:paraId="66A1F4A9" w14:textId="6903B87C" w:rsidR="00237D87" w:rsidRPr="008D0761" w:rsidRDefault="00237D87" w:rsidP="00237D87">
            <w:pPr>
              <w:spacing w:after="0" w:line="240" w:lineRule="auto"/>
              <w:rPr>
                <w:color w:val="000000"/>
              </w:rPr>
            </w:pPr>
            <w:r>
              <w:rPr>
                <w:color w:val="000000"/>
              </w:rPr>
              <w:t>.58</w:t>
            </w:r>
          </w:p>
        </w:tc>
        <w:tc>
          <w:tcPr>
            <w:tcW w:w="0" w:type="auto"/>
            <w:tcBorders>
              <w:top w:val="nil"/>
              <w:left w:val="nil"/>
              <w:bottom w:val="nil"/>
              <w:right w:val="nil"/>
            </w:tcBorders>
            <w:shd w:val="clear" w:color="auto" w:fill="auto"/>
            <w:noWrap/>
            <w:vAlign w:val="bottom"/>
            <w:hideMark/>
          </w:tcPr>
          <w:p w14:paraId="6E33D4C1" w14:textId="77777777" w:rsidR="00237D87" w:rsidRPr="008D0761" w:rsidRDefault="00237D87" w:rsidP="00237D87">
            <w:pPr>
              <w:spacing w:after="0" w:line="240" w:lineRule="auto"/>
              <w:rPr>
                <w:color w:val="000000"/>
              </w:rPr>
            </w:pPr>
            <w:r w:rsidRPr="008D0761">
              <w:rPr>
                <w:color w:val="000000"/>
              </w:rPr>
              <w:t>.85</w:t>
            </w:r>
          </w:p>
        </w:tc>
        <w:tc>
          <w:tcPr>
            <w:tcW w:w="0" w:type="auto"/>
            <w:tcBorders>
              <w:top w:val="nil"/>
              <w:left w:val="nil"/>
              <w:bottom w:val="nil"/>
              <w:right w:val="nil"/>
            </w:tcBorders>
            <w:shd w:val="clear" w:color="auto" w:fill="auto"/>
            <w:noWrap/>
            <w:vAlign w:val="bottom"/>
            <w:hideMark/>
          </w:tcPr>
          <w:p w14:paraId="5575D664" w14:textId="77777777" w:rsidR="00237D87" w:rsidRPr="008D0761" w:rsidRDefault="00237D87" w:rsidP="00237D87">
            <w:pPr>
              <w:spacing w:after="0" w:line="240" w:lineRule="auto"/>
              <w:rPr>
                <w:color w:val="000000"/>
              </w:rPr>
            </w:pPr>
            <w:r w:rsidRPr="008D0761">
              <w:rPr>
                <w:color w:val="000000"/>
              </w:rPr>
              <w:t>.64</w:t>
            </w:r>
          </w:p>
        </w:tc>
        <w:tc>
          <w:tcPr>
            <w:tcW w:w="0" w:type="auto"/>
            <w:tcBorders>
              <w:top w:val="nil"/>
              <w:left w:val="nil"/>
              <w:bottom w:val="nil"/>
              <w:right w:val="nil"/>
            </w:tcBorders>
            <w:shd w:val="clear" w:color="auto" w:fill="auto"/>
            <w:noWrap/>
            <w:vAlign w:val="bottom"/>
            <w:hideMark/>
          </w:tcPr>
          <w:p w14:paraId="24AE91EC" w14:textId="77777777" w:rsidR="00237D87" w:rsidRPr="008D0761" w:rsidRDefault="00237D87" w:rsidP="00237D87">
            <w:pPr>
              <w:spacing w:after="0" w:line="240" w:lineRule="auto"/>
              <w:rPr>
                <w:color w:val="000000"/>
              </w:rPr>
            </w:pPr>
            <w:r w:rsidRPr="008D0761">
              <w:rPr>
                <w:color w:val="000000"/>
              </w:rPr>
              <w:t>.71</w:t>
            </w:r>
          </w:p>
        </w:tc>
        <w:tc>
          <w:tcPr>
            <w:tcW w:w="0" w:type="auto"/>
            <w:tcBorders>
              <w:top w:val="nil"/>
              <w:left w:val="nil"/>
              <w:bottom w:val="nil"/>
              <w:right w:val="nil"/>
            </w:tcBorders>
            <w:shd w:val="clear" w:color="auto" w:fill="auto"/>
            <w:noWrap/>
            <w:vAlign w:val="bottom"/>
            <w:hideMark/>
          </w:tcPr>
          <w:p w14:paraId="5820CB2C" w14:textId="77777777" w:rsidR="00237D87" w:rsidRPr="008D0761" w:rsidRDefault="00237D87" w:rsidP="00237D87">
            <w:pPr>
              <w:spacing w:after="0" w:line="240" w:lineRule="auto"/>
              <w:rPr>
                <w:color w:val="000000"/>
              </w:rPr>
            </w:pPr>
            <w:r w:rsidRPr="008D0761">
              <w:rPr>
                <w:color w:val="000000"/>
              </w:rPr>
              <w:t>.47</w:t>
            </w:r>
          </w:p>
        </w:tc>
        <w:tc>
          <w:tcPr>
            <w:tcW w:w="1178" w:type="dxa"/>
            <w:tcBorders>
              <w:top w:val="nil"/>
              <w:left w:val="nil"/>
              <w:bottom w:val="nil"/>
              <w:right w:val="nil"/>
            </w:tcBorders>
            <w:shd w:val="clear" w:color="auto" w:fill="auto"/>
            <w:noWrap/>
            <w:vAlign w:val="bottom"/>
            <w:hideMark/>
          </w:tcPr>
          <w:p w14:paraId="7D1F38EA" w14:textId="77777777" w:rsidR="00237D87" w:rsidRPr="008D0761" w:rsidRDefault="00237D87" w:rsidP="00237D87">
            <w:pPr>
              <w:spacing w:after="0" w:line="240" w:lineRule="auto"/>
              <w:rPr>
                <w:color w:val="000000"/>
              </w:rPr>
            </w:pPr>
            <w:r w:rsidRPr="00496153">
              <w:rPr>
                <w:color w:val="000000"/>
              </w:rPr>
              <w:t>.79</w:t>
            </w:r>
          </w:p>
        </w:tc>
      </w:tr>
      <w:tr w:rsidR="00237D87" w:rsidRPr="008D0761" w14:paraId="58377D4E" w14:textId="77777777" w:rsidTr="008A45BD">
        <w:trPr>
          <w:trHeight w:val="319"/>
        </w:trPr>
        <w:tc>
          <w:tcPr>
            <w:tcW w:w="0" w:type="auto"/>
            <w:tcBorders>
              <w:top w:val="nil"/>
              <w:left w:val="nil"/>
              <w:bottom w:val="nil"/>
              <w:right w:val="nil"/>
            </w:tcBorders>
            <w:shd w:val="clear" w:color="auto" w:fill="auto"/>
            <w:noWrap/>
            <w:vAlign w:val="bottom"/>
            <w:hideMark/>
          </w:tcPr>
          <w:p w14:paraId="2C7F55E3" w14:textId="77777777" w:rsidR="00237D87" w:rsidRPr="008D0761" w:rsidRDefault="00237D87" w:rsidP="00237D87">
            <w:pPr>
              <w:spacing w:after="0" w:line="240" w:lineRule="auto"/>
              <w:jc w:val="left"/>
              <w:rPr>
                <w:color w:val="000000"/>
              </w:rPr>
            </w:pPr>
            <w:r w:rsidRPr="008D0761">
              <w:rPr>
                <w:color w:val="000000"/>
              </w:rPr>
              <w:t>Eastern Europe</w:t>
            </w:r>
          </w:p>
        </w:tc>
        <w:tc>
          <w:tcPr>
            <w:tcW w:w="0" w:type="auto"/>
            <w:tcBorders>
              <w:top w:val="nil"/>
              <w:left w:val="nil"/>
              <w:bottom w:val="nil"/>
              <w:right w:val="nil"/>
            </w:tcBorders>
            <w:shd w:val="clear" w:color="auto" w:fill="auto"/>
            <w:noWrap/>
            <w:vAlign w:val="center"/>
            <w:hideMark/>
          </w:tcPr>
          <w:p w14:paraId="2C0E9D5D" w14:textId="16C43812" w:rsidR="00237D87" w:rsidRPr="008D0761" w:rsidRDefault="00237D87" w:rsidP="00237D87">
            <w:pPr>
              <w:spacing w:after="0" w:line="240" w:lineRule="auto"/>
              <w:rPr>
                <w:color w:val="000000"/>
              </w:rPr>
            </w:pPr>
            <w:r>
              <w:rPr>
                <w:color w:val="000000"/>
              </w:rPr>
              <w:t>.87</w:t>
            </w:r>
          </w:p>
        </w:tc>
        <w:tc>
          <w:tcPr>
            <w:tcW w:w="0" w:type="auto"/>
            <w:tcBorders>
              <w:top w:val="nil"/>
              <w:left w:val="nil"/>
              <w:bottom w:val="nil"/>
              <w:right w:val="nil"/>
            </w:tcBorders>
            <w:shd w:val="clear" w:color="auto" w:fill="auto"/>
            <w:noWrap/>
            <w:vAlign w:val="center"/>
            <w:hideMark/>
          </w:tcPr>
          <w:p w14:paraId="47B7BF98" w14:textId="3FF1DCF3" w:rsidR="00237D87" w:rsidRPr="008D0761" w:rsidRDefault="00237D87" w:rsidP="00237D87">
            <w:pPr>
              <w:spacing w:after="0" w:line="240" w:lineRule="auto"/>
              <w:rPr>
                <w:color w:val="000000"/>
              </w:rPr>
            </w:pPr>
            <w:r>
              <w:rPr>
                <w:color w:val="000000"/>
              </w:rPr>
              <w:t>.83</w:t>
            </w:r>
          </w:p>
        </w:tc>
        <w:tc>
          <w:tcPr>
            <w:tcW w:w="0" w:type="auto"/>
            <w:tcBorders>
              <w:top w:val="nil"/>
              <w:left w:val="nil"/>
              <w:bottom w:val="nil"/>
              <w:right w:val="nil"/>
            </w:tcBorders>
            <w:shd w:val="clear" w:color="auto" w:fill="auto"/>
            <w:noWrap/>
            <w:vAlign w:val="center"/>
            <w:hideMark/>
          </w:tcPr>
          <w:p w14:paraId="6F3DF6A5" w14:textId="1F09B217" w:rsidR="00237D87" w:rsidRPr="008D0761" w:rsidRDefault="00237D87" w:rsidP="00237D87">
            <w:pPr>
              <w:spacing w:after="0" w:line="240" w:lineRule="auto"/>
              <w:rPr>
                <w:color w:val="000000"/>
              </w:rPr>
            </w:pPr>
            <w:r>
              <w:rPr>
                <w:color w:val="000000"/>
              </w:rPr>
              <w:t>.64</w:t>
            </w:r>
          </w:p>
        </w:tc>
        <w:tc>
          <w:tcPr>
            <w:tcW w:w="0" w:type="auto"/>
            <w:tcBorders>
              <w:top w:val="nil"/>
              <w:left w:val="nil"/>
              <w:bottom w:val="nil"/>
              <w:right w:val="nil"/>
            </w:tcBorders>
            <w:shd w:val="clear" w:color="auto" w:fill="auto"/>
            <w:noWrap/>
            <w:vAlign w:val="center"/>
            <w:hideMark/>
          </w:tcPr>
          <w:p w14:paraId="372BFC45" w14:textId="2CF33481" w:rsidR="00237D87" w:rsidRPr="008D0761" w:rsidRDefault="00237D87" w:rsidP="00237D87">
            <w:pPr>
              <w:spacing w:after="0" w:line="240" w:lineRule="auto"/>
              <w:rPr>
                <w:color w:val="000000"/>
              </w:rPr>
            </w:pPr>
            <w:r>
              <w:rPr>
                <w:color w:val="000000"/>
              </w:rPr>
              <w:t>.59</w:t>
            </w:r>
          </w:p>
        </w:tc>
        <w:tc>
          <w:tcPr>
            <w:tcW w:w="0" w:type="auto"/>
            <w:tcBorders>
              <w:top w:val="nil"/>
              <w:left w:val="nil"/>
              <w:bottom w:val="nil"/>
              <w:right w:val="nil"/>
            </w:tcBorders>
            <w:shd w:val="clear" w:color="auto" w:fill="auto"/>
            <w:noWrap/>
            <w:vAlign w:val="bottom"/>
            <w:hideMark/>
          </w:tcPr>
          <w:p w14:paraId="2D79C54D" w14:textId="77777777" w:rsidR="00237D87" w:rsidRPr="008D0761" w:rsidRDefault="00237D87" w:rsidP="00237D87">
            <w:pPr>
              <w:spacing w:after="0" w:line="240" w:lineRule="auto"/>
              <w:rPr>
                <w:color w:val="000000"/>
              </w:rPr>
            </w:pPr>
            <w:r w:rsidRPr="008D0761">
              <w:rPr>
                <w:color w:val="000000"/>
              </w:rPr>
              <w:t>.82</w:t>
            </w:r>
          </w:p>
        </w:tc>
        <w:tc>
          <w:tcPr>
            <w:tcW w:w="0" w:type="auto"/>
            <w:tcBorders>
              <w:top w:val="nil"/>
              <w:left w:val="nil"/>
              <w:bottom w:val="nil"/>
              <w:right w:val="nil"/>
            </w:tcBorders>
            <w:shd w:val="clear" w:color="auto" w:fill="auto"/>
            <w:noWrap/>
            <w:vAlign w:val="bottom"/>
            <w:hideMark/>
          </w:tcPr>
          <w:p w14:paraId="3392D378" w14:textId="77777777" w:rsidR="00237D87" w:rsidRPr="008D0761" w:rsidRDefault="00237D87" w:rsidP="00237D87">
            <w:pPr>
              <w:spacing w:after="0" w:line="240" w:lineRule="auto"/>
              <w:rPr>
                <w:color w:val="000000"/>
              </w:rPr>
            </w:pPr>
            <w:r w:rsidRPr="008D0761">
              <w:rPr>
                <w:color w:val="000000"/>
              </w:rPr>
              <w:t>.63</w:t>
            </w:r>
          </w:p>
        </w:tc>
        <w:tc>
          <w:tcPr>
            <w:tcW w:w="0" w:type="auto"/>
            <w:tcBorders>
              <w:top w:val="nil"/>
              <w:left w:val="nil"/>
              <w:bottom w:val="nil"/>
              <w:right w:val="nil"/>
            </w:tcBorders>
            <w:shd w:val="clear" w:color="auto" w:fill="auto"/>
            <w:noWrap/>
            <w:vAlign w:val="bottom"/>
            <w:hideMark/>
          </w:tcPr>
          <w:p w14:paraId="22C77AC9" w14:textId="77777777" w:rsidR="00237D87" w:rsidRPr="008D0761" w:rsidRDefault="00237D87" w:rsidP="00237D87">
            <w:pPr>
              <w:spacing w:after="0" w:line="240" w:lineRule="auto"/>
              <w:rPr>
                <w:color w:val="000000"/>
              </w:rPr>
            </w:pPr>
            <w:r w:rsidRPr="008D0761">
              <w:rPr>
                <w:color w:val="000000"/>
              </w:rPr>
              <w:t>.65</w:t>
            </w:r>
          </w:p>
        </w:tc>
        <w:tc>
          <w:tcPr>
            <w:tcW w:w="0" w:type="auto"/>
            <w:tcBorders>
              <w:top w:val="nil"/>
              <w:left w:val="nil"/>
              <w:bottom w:val="nil"/>
              <w:right w:val="nil"/>
            </w:tcBorders>
            <w:shd w:val="clear" w:color="auto" w:fill="auto"/>
            <w:noWrap/>
            <w:vAlign w:val="bottom"/>
            <w:hideMark/>
          </w:tcPr>
          <w:p w14:paraId="59BE42D7" w14:textId="77777777" w:rsidR="00237D87" w:rsidRPr="008D0761" w:rsidRDefault="00237D87" w:rsidP="00237D87">
            <w:pPr>
              <w:spacing w:after="0" w:line="240" w:lineRule="auto"/>
              <w:rPr>
                <w:color w:val="000000"/>
              </w:rPr>
            </w:pPr>
            <w:r w:rsidRPr="008D0761">
              <w:rPr>
                <w:color w:val="000000"/>
              </w:rPr>
              <w:t>.46</w:t>
            </w:r>
          </w:p>
        </w:tc>
        <w:tc>
          <w:tcPr>
            <w:tcW w:w="1178" w:type="dxa"/>
            <w:tcBorders>
              <w:top w:val="nil"/>
              <w:left w:val="nil"/>
              <w:bottom w:val="nil"/>
              <w:right w:val="nil"/>
            </w:tcBorders>
            <w:shd w:val="clear" w:color="auto" w:fill="auto"/>
            <w:noWrap/>
            <w:vAlign w:val="bottom"/>
            <w:hideMark/>
          </w:tcPr>
          <w:p w14:paraId="7317196E" w14:textId="77777777" w:rsidR="00237D87" w:rsidRPr="008D0761" w:rsidRDefault="00237D87" w:rsidP="00237D87">
            <w:pPr>
              <w:spacing w:after="0" w:line="240" w:lineRule="auto"/>
              <w:rPr>
                <w:color w:val="000000"/>
              </w:rPr>
            </w:pPr>
            <w:r w:rsidRPr="00496153">
              <w:rPr>
                <w:color w:val="000000"/>
              </w:rPr>
              <w:t>.85</w:t>
            </w:r>
          </w:p>
        </w:tc>
      </w:tr>
      <w:tr w:rsidR="00237D87" w:rsidRPr="008D0761" w14:paraId="41C1E18F" w14:textId="77777777" w:rsidTr="008A45BD">
        <w:trPr>
          <w:trHeight w:val="319"/>
        </w:trPr>
        <w:tc>
          <w:tcPr>
            <w:tcW w:w="0" w:type="auto"/>
            <w:tcBorders>
              <w:top w:val="nil"/>
              <w:left w:val="nil"/>
              <w:bottom w:val="nil"/>
              <w:right w:val="nil"/>
            </w:tcBorders>
            <w:shd w:val="clear" w:color="auto" w:fill="auto"/>
            <w:noWrap/>
            <w:vAlign w:val="bottom"/>
            <w:hideMark/>
          </w:tcPr>
          <w:p w14:paraId="63CF0C59" w14:textId="77777777" w:rsidR="00237D87" w:rsidRPr="008D0761" w:rsidRDefault="00237D87" w:rsidP="00237D87">
            <w:pPr>
              <w:spacing w:after="0" w:line="240" w:lineRule="auto"/>
              <w:jc w:val="left"/>
              <w:rPr>
                <w:color w:val="000000"/>
              </w:rPr>
            </w:pPr>
            <w:r w:rsidRPr="008D0761">
              <w:rPr>
                <w:color w:val="000000"/>
              </w:rPr>
              <w:t>Southern Europe</w:t>
            </w:r>
          </w:p>
        </w:tc>
        <w:tc>
          <w:tcPr>
            <w:tcW w:w="0" w:type="auto"/>
            <w:tcBorders>
              <w:top w:val="nil"/>
              <w:left w:val="nil"/>
              <w:bottom w:val="nil"/>
              <w:right w:val="nil"/>
            </w:tcBorders>
            <w:shd w:val="clear" w:color="auto" w:fill="auto"/>
            <w:noWrap/>
            <w:vAlign w:val="center"/>
            <w:hideMark/>
          </w:tcPr>
          <w:p w14:paraId="1919AB92" w14:textId="35B3FCC6" w:rsidR="00237D87" w:rsidRPr="008D0761" w:rsidRDefault="00237D87" w:rsidP="00237D87">
            <w:pPr>
              <w:spacing w:after="0" w:line="240" w:lineRule="auto"/>
              <w:rPr>
                <w:color w:val="000000"/>
              </w:rPr>
            </w:pPr>
            <w:r>
              <w:rPr>
                <w:color w:val="000000"/>
              </w:rPr>
              <w:t>.88</w:t>
            </w:r>
          </w:p>
        </w:tc>
        <w:tc>
          <w:tcPr>
            <w:tcW w:w="0" w:type="auto"/>
            <w:tcBorders>
              <w:top w:val="nil"/>
              <w:left w:val="nil"/>
              <w:bottom w:val="nil"/>
              <w:right w:val="nil"/>
            </w:tcBorders>
            <w:shd w:val="clear" w:color="auto" w:fill="auto"/>
            <w:noWrap/>
            <w:vAlign w:val="center"/>
            <w:hideMark/>
          </w:tcPr>
          <w:p w14:paraId="08D7AF79" w14:textId="594FDD62" w:rsidR="00237D87" w:rsidRPr="008D0761" w:rsidRDefault="00237D87" w:rsidP="00237D87">
            <w:pPr>
              <w:spacing w:after="0" w:line="240" w:lineRule="auto"/>
              <w:rPr>
                <w:color w:val="000000"/>
              </w:rPr>
            </w:pPr>
            <w:r>
              <w:rPr>
                <w:color w:val="000000"/>
              </w:rPr>
              <w:t>.84</w:t>
            </w:r>
          </w:p>
        </w:tc>
        <w:tc>
          <w:tcPr>
            <w:tcW w:w="0" w:type="auto"/>
            <w:tcBorders>
              <w:top w:val="nil"/>
              <w:left w:val="nil"/>
              <w:bottom w:val="nil"/>
              <w:right w:val="nil"/>
            </w:tcBorders>
            <w:shd w:val="clear" w:color="auto" w:fill="auto"/>
            <w:noWrap/>
            <w:vAlign w:val="center"/>
            <w:hideMark/>
          </w:tcPr>
          <w:p w14:paraId="5573679C" w14:textId="61A26DF3" w:rsidR="00237D87" w:rsidRPr="008D0761" w:rsidRDefault="00237D87" w:rsidP="00237D87">
            <w:pPr>
              <w:spacing w:after="0" w:line="240" w:lineRule="auto"/>
              <w:rPr>
                <w:color w:val="000000"/>
              </w:rPr>
            </w:pPr>
            <w:r>
              <w:rPr>
                <w:color w:val="000000"/>
              </w:rPr>
              <w:t>.82</w:t>
            </w:r>
          </w:p>
        </w:tc>
        <w:tc>
          <w:tcPr>
            <w:tcW w:w="0" w:type="auto"/>
            <w:tcBorders>
              <w:top w:val="nil"/>
              <w:left w:val="nil"/>
              <w:bottom w:val="nil"/>
              <w:right w:val="nil"/>
            </w:tcBorders>
            <w:shd w:val="clear" w:color="auto" w:fill="auto"/>
            <w:noWrap/>
            <w:vAlign w:val="center"/>
            <w:hideMark/>
          </w:tcPr>
          <w:p w14:paraId="475A9D6B" w14:textId="32857445" w:rsidR="00237D87" w:rsidRPr="008D0761" w:rsidRDefault="00237D87" w:rsidP="00237D87">
            <w:pPr>
              <w:spacing w:after="0" w:line="240" w:lineRule="auto"/>
              <w:rPr>
                <w:color w:val="000000"/>
              </w:rPr>
            </w:pPr>
            <w:r>
              <w:rPr>
                <w:color w:val="000000"/>
              </w:rPr>
              <w:t>.56</w:t>
            </w:r>
          </w:p>
        </w:tc>
        <w:tc>
          <w:tcPr>
            <w:tcW w:w="0" w:type="auto"/>
            <w:tcBorders>
              <w:top w:val="nil"/>
              <w:left w:val="nil"/>
              <w:bottom w:val="nil"/>
              <w:right w:val="nil"/>
            </w:tcBorders>
            <w:shd w:val="clear" w:color="auto" w:fill="auto"/>
            <w:noWrap/>
            <w:vAlign w:val="bottom"/>
            <w:hideMark/>
          </w:tcPr>
          <w:p w14:paraId="7A55F23A" w14:textId="77777777" w:rsidR="00237D87" w:rsidRPr="008D0761" w:rsidRDefault="00237D87" w:rsidP="00237D87">
            <w:pPr>
              <w:spacing w:after="0" w:line="240" w:lineRule="auto"/>
              <w:rPr>
                <w:color w:val="000000"/>
              </w:rPr>
            </w:pPr>
            <w:r w:rsidRPr="008D0761">
              <w:rPr>
                <w:color w:val="000000"/>
              </w:rPr>
              <w:t>.82</w:t>
            </w:r>
          </w:p>
        </w:tc>
        <w:tc>
          <w:tcPr>
            <w:tcW w:w="0" w:type="auto"/>
            <w:tcBorders>
              <w:top w:val="nil"/>
              <w:left w:val="nil"/>
              <w:bottom w:val="nil"/>
              <w:right w:val="nil"/>
            </w:tcBorders>
            <w:shd w:val="clear" w:color="auto" w:fill="auto"/>
            <w:noWrap/>
            <w:vAlign w:val="bottom"/>
            <w:hideMark/>
          </w:tcPr>
          <w:p w14:paraId="4E3A8B8A" w14:textId="77777777" w:rsidR="00237D87" w:rsidRPr="008D0761" w:rsidRDefault="00237D87" w:rsidP="00237D87">
            <w:pPr>
              <w:spacing w:after="0" w:line="240" w:lineRule="auto"/>
              <w:rPr>
                <w:color w:val="000000"/>
              </w:rPr>
            </w:pPr>
            <w:r w:rsidRPr="008D0761">
              <w:rPr>
                <w:color w:val="000000"/>
              </w:rPr>
              <w:t>.62</w:t>
            </w:r>
          </w:p>
        </w:tc>
        <w:tc>
          <w:tcPr>
            <w:tcW w:w="0" w:type="auto"/>
            <w:tcBorders>
              <w:top w:val="nil"/>
              <w:left w:val="nil"/>
              <w:bottom w:val="nil"/>
              <w:right w:val="nil"/>
            </w:tcBorders>
            <w:shd w:val="clear" w:color="auto" w:fill="auto"/>
            <w:noWrap/>
            <w:vAlign w:val="bottom"/>
            <w:hideMark/>
          </w:tcPr>
          <w:p w14:paraId="3707F956" w14:textId="77777777" w:rsidR="00237D87" w:rsidRPr="008D0761" w:rsidRDefault="00237D87" w:rsidP="00237D87">
            <w:pPr>
              <w:spacing w:after="0" w:line="240" w:lineRule="auto"/>
              <w:rPr>
                <w:color w:val="000000"/>
              </w:rPr>
            </w:pPr>
            <w:r w:rsidRPr="008D0761">
              <w:rPr>
                <w:color w:val="000000"/>
              </w:rPr>
              <w:t>.67</w:t>
            </w:r>
          </w:p>
        </w:tc>
        <w:tc>
          <w:tcPr>
            <w:tcW w:w="0" w:type="auto"/>
            <w:tcBorders>
              <w:top w:val="nil"/>
              <w:left w:val="nil"/>
              <w:bottom w:val="nil"/>
              <w:right w:val="nil"/>
            </w:tcBorders>
            <w:shd w:val="clear" w:color="auto" w:fill="auto"/>
            <w:noWrap/>
            <w:vAlign w:val="bottom"/>
            <w:hideMark/>
          </w:tcPr>
          <w:p w14:paraId="47F527AB" w14:textId="77777777" w:rsidR="00237D87" w:rsidRPr="008D0761" w:rsidRDefault="00237D87" w:rsidP="00237D87">
            <w:pPr>
              <w:spacing w:after="0" w:line="240" w:lineRule="auto"/>
              <w:rPr>
                <w:color w:val="000000"/>
              </w:rPr>
            </w:pPr>
            <w:r w:rsidRPr="008D0761">
              <w:rPr>
                <w:color w:val="000000"/>
              </w:rPr>
              <w:t>.48</w:t>
            </w:r>
          </w:p>
        </w:tc>
        <w:tc>
          <w:tcPr>
            <w:tcW w:w="1178" w:type="dxa"/>
            <w:tcBorders>
              <w:top w:val="nil"/>
              <w:left w:val="nil"/>
              <w:bottom w:val="nil"/>
              <w:right w:val="nil"/>
            </w:tcBorders>
            <w:shd w:val="clear" w:color="auto" w:fill="auto"/>
            <w:noWrap/>
            <w:vAlign w:val="bottom"/>
            <w:hideMark/>
          </w:tcPr>
          <w:p w14:paraId="22FF9347" w14:textId="77777777" w:rsidR="00237D87" w:rsidRPr="008D0761" w:rsidRDefault="00237D87" w:rsidP="00237D87">
            <w:pPr>
              <w:spacing w:after="0" w:line="240" w:lineRule="auto"/>
              <w:rPr>
                <w:color w:val="000000"/>
              </w:rPr>
            </w:pPr>
            <w:r w:rsidRPr="00496153">
              <w:rPr>
                <w:color w:val="000000"/>
              </w:rPr>
              <w:t>.74</w:t>
            </w:r>
          </w:p>
        </w:tc>
      </w:tr>
      <w:tr w:rsidR="00237D87" w:rsidRPr="008D0761" w14:paraId="6B567EC1" w14:textId="77777777" w:rsidTr="008A45BD">
        <w:trPr>
          <w:trHeight w:val="319"/>
        </w:trPr>
        <w:tc>
          <w:tcPr>
            <w:tcW w:w="0" w:type="auto"/>
            <w:tcBorders>
              <w:top w:val="nil"/>
              <w:left w:val="nil"/>
              <w:bottom w:val="nil"/>
              <w:right w:val="nil"/>
            </w:tcBorders>
            <w:shd w:val="clear" w:color="auto" w:fill="auto"/>
            <w:noWrap/>
            <w:vAlign w:val="bottom"/>
            <w:hideMark/>
          </w:tcPr>
          <w:p w14:paraId="45F711D3" w14:textId="77777777" w:rsidR="00237D87" w:rsidRPr="008D0761" w:rsidRDefault="00237D87" w:rsidP="00237D87">
            <w:pPr>
              <w:spacing w:after="0" w:line="240" w:lineRule="auto"/>
              <w:jc w:val="left"/>
              <w:rPr>
                <w:color w:val="000000"/>
              </w:rPr>
            </w:pPr>
            <w:r w:rsidRPr="008D0761">
              <w:rPr>
                <w:color w:val="000000"/>
              </w:rPr>
              <w:t>Latin America</w:t>
            </w:r>
          </w:p>
        </w:tc>
        <w:tc>
          <w:tcPr>
            <w:tcW w:w="0" w:type="auto"/>
            <w:tcBorders>
              <w:top w:val="nil"/>
              <w:left w:val="nil"/>
              <w:bottom w:val="nil"/>
              <w:right w:val="nil"/>
            </w:tcBorders>
            <w:shd w:val="clear" w:color="auto" w:fill="auto"/>
            <w:noWrap/>
            <w:vAlign w:val="center"/>
            <w:hideMark/>
          </w:tcPr>
          <w:p w14:paraId="3273B48E" w14:textId="05041733" w:rsidR="00237D87" w:rsidRPr="008D0761" w:rsidRDefault="00237D87" w:rsidP="00237D87">
            <w:pPr>
              <w:spacing w:after="0" w:line="240" w:lineRule="auto"/>
              <w:rPr>
                <w:color w:val="000000"/>
              </w:rPr>
            </w:pPr>
            <w:r>
              <w:rPr>
                <w:color w:val="000000"/>
              </w:rPr>
              <w:t>.84</w:t>
            </w:r>
          </w:p>
        </w:tc>
        <w:tc>
          <w:tcPr>
            <w:tcW w:w="0" w:type="auto"/>
            <w:tcBorders>
              <w:top w:val="nil"/>
              <w:left w:val="nil"/>
              <w:bottom w:val="nil"/>
              <w:right w:val="nil"/>
            </w:tcBorders>
            <w:shd w:val="clear" w:color="auto" w:fill="auto"/>
            <w:noWrap/>
            <w:vAlign w:val="center"/>
            <w:hideMark/>
          </w:tcPr>
          <w:p w14:paraId="1BE26A74" w14:textId="135BEE6E" w:rsidR="00237D87" w:rsidRPr="008D0761" w:rsidRDefault="00237D87" w:rsidP="00237D87">
            <w:pPr>
              <w:spacing w:after="0" w:line="240" w:lineRule="auto"/>
              <w:rPr>
                <w:color w:val="000000"/>
              </w:rPr>
            </w:pPr>
            <w:r>
              <w:rPr>
                <w:color w:val="000000"/>
              </w:rPr>
              <w:t>.85</w:t>
            </w:r>
          </w:p>
        </w:tc>
        <w:tc>
          <w:tcPr>
            <w:tcW w:w="0" w:type="auto"/>
            <w:tcBorders>
              <w:top w:val="nil"/>
              <w:left w:val="nil"/>
              <w:bottom w:val="nil"/>
              <w:right w:val="nil"/>
            </w:tcBorders>
            <w:shd w:val="clear" w:color="auto" w:fill="auto"/>
            <w:noWrap/>
            <w:vAlign w:val="center"/>
            <w:hideMark/>
          </w:tcPr>
          <w:p w14:paraId="581AA6D3" w14:textId="1EC3D580" w:rsidR="00237D87" w:rsidRPr="008D0761" w:rsidRDefault="00237D87" w:rsidP="00237D87">
            <w:pPr>
              <w:spacing w:after="0" w:line="240" w:lineRule="auto"/>
              <w:rPr>
                <w:color w:val="000000"/>
              </w:rPr>
            </w:pPr>
            <w:r>
              <w:rPr>
                <w:color w:val="000000"/>
              </w:rPr>
              <w:t>.43</w:t>
            </w:r>
          </w:p>
        </w:tc>
        <w:tc>
          <w:tcPr>
            <w:tcW w:w="0" w:type="auto"/>
            <w:tcBorders>
              <w:top w:val="nil"/>
              <w:left w:val="nil"/>
              <w:bottom w:val="nil"/>
              <w:right w:val="nil"/>
            </w:tcBorders>
            <w:shd w:val="clear" w:color="auto" w:fill="auto"/>
            <w:noWrap/>
            <w:vAlign w:val="center"/>
            <w:hideMark/>
          </w:tcPr>
          <w:p w14:paraId="117EDFD2" w14:textId="5D2F68F1" w:rsidR="00237D87" w:rsidRPr="008D0761" w:rsidRDefault="00237D87" w:rsidP="00237D87">
            <w:pPr>
              <w:spacing w:after="0" w:line="240" w:lineRule="auto"/>
              <w:rPr>
                <w:color w:val="000000"/>
              </w:rPr>
            </w:pPr>
            <w:r>
              <w:rPr>
                <w:color w:val="000000"/>
              </w:rPr>
              <w:t>.63</w:t>
            </w:r>
          </w:p>
        </w:tc>
        <w:tc>
          <w:tcPr>
            <w:tcW w:w="0" w:type="auto"/>
            <w:tcBorders>
              <w:top w:val="nil"/>
              <w:left w:val="nil"/>
              <w:bottom w:val="nil"/>
              <w:right w:val="nil"/>
            </w:tcBorders>
            <w:shd w:val="clear" w:color="auto" w:fill="auto"/>
            <w:noWrap/>
            <w:vAlign w:val="bottom"/>
            <w:hideMark/>
          </w:tcPr>
          <w:p w14:paraId="4B5D35BC" w14:textId="77777777" w:rsidR="00237D87" w:rsidRPr="008D0761" w:rsidRDefault="00237D87" w:rsidP="00237D87">
            <w:pPr>
              <w:spacing w:after="0" w:line="240" w:lineRule="auto"/>
              <w:rPr>
                <w:color w:val="000000"/>
              </w:rPr>
            </w:pPr>
            <w:r w:rsidRPr="008D0761">
              <w:rPr>
                <w:color w:val="000000"/>
              </w:rPr>
              <w:t>.80</w:t>
            </w:r>
          </w:p>
        </w:tc>
        <w:tc>
          <w:tcPr>
            <w:tcW w:w="0" w:type="auto"/>
            <w:tcBorders>
              <w:top w:val="nil"/>
              <w:left w:val="nil"/>
              <w:bottom w:val="nil"/>
              <w:right w:val="nil"/>
            </w:tcBorders>
            <w:shd w:val="clear" w:color="auto" w:fill="auto"/>
            <w:noWrap/>
            <w:vAlign w:val="bottom"/>
            <w:hideMark/>
          </w:tcPr>
          <w:p w14:paraId="51E33AD9" w14:textId="77777777" w:rsidR="00237D87" w:rsidRPr="008D0761" w:rsidRDefault="00237D87" w:rsidP="00237D87">
            <w:pPr>
              <w:spacing w:after="0" w:line="240" w:lineRule="auto"/>
              <w:rPr>
                <w:color w:val="000000"/>
              </w:rPr>
            </w:pPr>
            <w:r w:rsidRPr="008D0761">
              <w:rPr>
                <w:color w:val="000000"/>
              </w:rPr>
              <w:t>.66</w:t>
            </w:r>
          </w:p>
        </w:tc>
        <w:tc>
          <w:tcPr>
            <w:tcW w:w="0" w:type="auto"/>
            <w:tcBorders>
              <w:top w:val="nil"/>
              <w:left w:val="nil"/>
              <w:bottom w:val="nil"/>
              <w:right w:val="nil"/>
            </w:tcBorders>
            <w:shd w:val="clear" w:color="auto" w:fill="auto"/>
            <w:noWrap/>
            <w:vAlign w:val="bottom"/>
            <w:hideMark/>
          </w:tcPr>
          <w:p w14:paraId="15557099" w14:textId="77777777" w:rsidR="00237D87" w:rsidRPr="008D0761" w:rsidRDefault="00237D87" w:rsidP="00237D87">
            <w:pPr>
              <w:spacing w:after="0" w:line="240" w:lineRule="auto"/>
              <w:rPr>
                <w:color w:val="000000"/>
              </w:rPr>
            </w:pPr>
            <w:r w:rsidRPr="008D0761">
              <w:rPr>
                <w:color w:val="000000"/>
              </w:rPr>
              <w:t>.60</w:t>
            </w:r>
          </w:p>
        </w:tc>
        <w:tc>
          <w:tcPr>
            <w:tcW w:w="0" w:type="auto"/>
            <w:tcBorders>
              <w:top w:val="nil"/>
              <w:left w:val="nil"/>
              <w:bottom w:val="nil"/>
              <w:right w:val="nil"/>
            </w:tcBorders>
            <w:shd w:val="clear" w:color="auto" w:fill="auto"/>
            <w:noWrap/>
            <w:vAlign w:val="bottom"/>
            <w:hideMark/>
          </w:tcPr>
          <w:p w14:paraId="09CD684A" w14:textId="77777777" w:rsidR="00237D87" w:rsidRPr="008D0761" w:rsidRDefault="00237D87" w:rsidP="00237D87">
            <w:pPr>
              <w:spacing w:after="0" w:line="240" w:lineRule="auto"/>
              <w:rPr>
                <w:color w:val="000000"/>
              </w:rPr>
            </w:pPr>
            <w:r w:rsidRPr="008D0761">
              <w:rPr>
                <w:color w:val="000000"/>
              </w:rPr>
              <w:t>.49</w:t>
            </w:r>
          </w:p>
        </w:tc>
        <w:tc>
          <w:tcPr>
            <w:tcW w:w="1178" w:type="dxa"/>
            <w:tcBorders>
              <w:top w:val="nil"/>
              <w:left w:val="nil"/>
              <w:bottom w:val="nil"/>
              <w:right w:val="nil"/>
            </w:tcBorders>
            <w:shd w:val="clear" w:color="auto" w:fill="auto"/>
            <w:noWrap/>
            <w:vAlign w:val="bottom"/>
            <w:hideMark/>
          </w:tcPr>
          <w:p w14:paraId="28269608" w14:textId="77777777" w:rsidR="00237D87" w:rsidRPr="008D0761" w:rsidRDefault="00237D87" w:rsidP="00237D87">
            <w:pPr>
              <w:spacing w:after="0" w:line="240" w:lineRule="auto"/>
              <w:rPr>
                <w:color w:val="000000"/>
              </w:rPr>
            </w:pPr>
            <w:r w:rsidRPr="00496153">
              <w:rPr>
                <w:color w:val="000000"/>
              </w:rPr>
              <w:t>.82</w:t>
            </w:r>
          </w:p>
        </w:tc>
      </w:tr>
      <w:tr w:rsidR="00237D87" w:rsidRPr="008D0761" w14:paraId="3922D910" w14:textId="77777777" w:rsidTr="008A45BD">
        <w:trPr>
          <w:trHeight w:val="319"/>
        </w:trPr>
        <w:tc>
          <w:tcPr>
            <w:tcW w:w="0" w:type="auto"/>
            <w:tcBorders>
              <w:top w:val="nil"/>
              <w:left w:val="nil"/>
              <w:bottom w:val="nil"/>
              <w:right w:val="nil"/>
            </w:tcBorders>
            <w:shd w:val="clear" w:color="auto" w:fill="auto"/>
            <w:noWrap/>
            <w:vAlign w:val="bottom"/>
            <w:hideMark/>
          </w:tcPr>
          <w:p w14:paraId="7049A7C0" w14:textId="77777777" w:rsidR="00237D87" w:rsidRPr="008D0761" w:rsidRDefault="00237D87" w:rsidP="00237D87">
            <w:pPr>
              <w:spacing w:after="0" w:line="240" w:lineRule="auto"/>
              <w:jc w:val="left"/>
              <w:rPr>
                <w:color w:val="000000"/>
              </w:rPr>
            </w:pPr>
            <w:r w:rsidRPr="008D0761">
              <w:rPr>
                <w:color w:val="000000"/>
              </w:rPr>
              <w:t>East Asia</w:t>
            </w:r>
          </w:p>
        </w:tc>
        <w:tc>
          <w:tcPr>
            <w:tcW w:w="0" w:type="auto"/>
            <w:tcBorders>
              <w:top w:val="nil"/>
              <w:left w:val="nil"/>
              <w:bottom w:val="nil"/>
              <w:right w:val="nil"/>
            </w:tcBorders>
            <w:shd w:val="clear" w:color="auto" w:fill="auto"/>
            <w:noWrap/>
            <w:vAlign w:val="center"/>
            <w:hideMark/>
          </w:tcPr>
          <w:p w14:paraId="54B5517B" w14:textId="6C453A7D" w:rsidR="00237D87" w:rsidRPr="008D0761" w:rsidRDefault="00237D87" w:rsidP="00237D87">
            <w:pPr>
              <w:spacing w:after="0" w:line="240" w:lineRule="auto"/>
              <w:rPr>
                <w:color w:val="000000"/>
              </w:rPr>
            </w:pPr>
            <w:r>
              <w:rPr>
                <w:color w:val="000000"/>
              </w:rPr>
              <w:t>.86</w:t>
            </w:r>
          </w:p>
        </w:tc>
        <w:tc>
          <w:tcPr>
            <w:tcW w:w="0" w:type="auto"/>
            <w:tcBorders>
              <w:top w:val="nil"/>
              <w:left w:val="nil"/>
              <w:bottom w:val="nil"/>
              <w:right w:val="nil"/>
            </w:tcBorders>
            <w:shd w:val="clear" w:color="auto" w:fill="auto"/>
            <w:noWrap/>
            <w:vAlign w:val="center"/>
            <w:hideMark/>
          </w:tcPr>
          <w:p w14:paraId="4B03C8B4" w14:textId="0D0D4F11" w:rsidR="00237D87" w:rsidRPr="008D0761" w:rsidRDefault="00237D87" w:rsidP="00237D87">
            <w:pPr>
              <w:spacing w:after="0" w:line="240" w:lineRule="auto"/>
              <w:rPr>
                <w:color w:val="000000"/>
              </w:rPr>
            </w:pPr>
            <w:r>
              <w:rPr>
                <w:color w:val="000000"/>
              </w:rPr>
              <w:t>.87</w:t>
            </w:r>
          </w:p>
        </w:tc>
        <w:tc>
          <w:tcPr>
            <w:tcW w:w="0" w:type="auto"/>
            <w:tcBorders>
              <w:top w:val="nil"/>
              <w:left w:val="nil"/>
              <w:bottom w:val="nil"/>
              <w:right w:val="nil"/>
            </w:tcBorders>
            <w:shd w:val="clear" w:color="auto" w:fill="auto"/>
            <w:noWrap/>
            <w:vAlign w:val="center"/>
            <w:hideMark/>
          </w:tcPr>
          <w:p w14:paraId="6B37863E" w14:textId="03A144B8" w:rsidR="00237D87" w:rsidRPr="008D0761" w:rsidRDefault="00237D87" w:rsidP="00237D87">
            <w:pPr>
              <w:spacing w:after="0" w:line="240" w:lineRule="auto"/>
              <w:rPr>
                <w:color w:val="000000"/>
              </w:rPr>
            </w:pPr>
            <w:r>
              <w:rPr>
                <w:color w:val="000000"/>
              </w:rPr>
              <w:t>.50</w:t>
            </w:r>
          </w:p>
        </w:tc>
        <w:tc>
          <w:tcPr>
            <w:tcW w:w="0" w:type="auto"/>
            <w:tcBorders>
              <w:top w:val="nil"/>
              <w:left w:val="nil"/>
              <w:bottom w:val="nil"/>
              <w:right w:val="nil"/>
            </w:tcBorders>
            <w:shd w:val="clear" w:color="auto" w:fill="auto"/>
            <w:noWrap/>
            <w:vAlign w:val="center"/>
            <w:hideMark/>
          </w:tcPr>
          <w:p w14:paraId="4C25E518" w14:textId="16B4BBB1" w:rsidR="00237D87" w:rsidRPr="008D0761" w:rsidRDefault="00237D87" w:rsidP="00237D87">
            <w:pPr>
              <w:spacing w:after="0" w:line="240" w:lineRule="auto"/>
              <w:rPr>
                <w:color w:val="000000"/>
              </w:rPr>
            </w:pPr>
            <w:r>
              <w:rPr>
                <w:color w:val="000000"/>
              </w:rPr>
              <w:t>.70</w:t>
            </w:r>
          </w:p>
        </w:tc>
        <w:tc>
          <w:tcPr>
            <w:tcW w:w="0" w:type="auto"/>
            <w:tcBorders>
              <w:top w:val="nil"/>
              <w:left w:val="nil"/>
              <w:bottom w:val="nil"/>
              <w:right w:val="nil"/>
            </w:tcBorders>
            <w:shd w:val="clear" w:color="auto" w:fill="auto"/>
            <w:noWrap/>
            <w:vAlign w:val="bottom"/>
            <w:hideMark/>
          </w:tcPr>
          <w:p w14:paraId="64D2AB33" w14:textId="77777777" w:rsidR="00237D87" w:rsidRPr="008D0761" w:rsidRDefault="00237D87" w:rsidP="00237D87">
            <w:pPr>
              <w:spacing w:after="0" w:line="240" w:lineRule="auto"/>
              <w:rPr>
                <w:color w:val="000000"/>
              </w:rPr>
            </w:pPr>
            <w:r w:rsidRPr="008D0761">
              <w:rPr>
                <w:color w:val="000000"/>
              </w:rPr>
              <w:t>.80</w:t>
            </w:r>
          </w:p>
        </w:tc>
        <w:tc>
          <w:tcPr>
            <w:tcW w:w="0" w:type="auto"/>
            <w:tcBorders>
              <w:top w:val="nil"/>
              <w:left w:val="nil"/>
              <w:bottom w:val="nil"/>
              <w:right w:val="nil"/>
            </w:tcBorders>
            <w:shd w:val="clear" w:color="auto" w:fill="auto"/>
            <w:noWrap/>
            <w:vAlign w:val="bottom"/>
            <w:hideMark/>
          </w:tcPr>
          <w:p w14:paraId="00FEA96F" w14:textId="77777777" w:rsidR="00237D87" w:rsidRPr="008D0761" w:rsidRDefault="00237D87" w:rsidP="00237D87">
            <w:pPr>
              <w:spacing w:after="0" w:line="240" w:lineRule="auto"/>
              <w:rPr>
                <w:color w:val="000000"/>
              </w:rPr>
            </w:pPr>
            <w:r w:rsidRPr="008D0761">
              <w:rPr>
                <w:color w:val="000000"/>
              </w:rPr>
              <w:t>.75</w:t>
            </w:r>
          </w:p>
        </w:tc>
        <w:tc>
          <w:tcPr>
            <w:tcW w:w="0" w:type="auto"/>
            <w:tcBorders>
              <w:top w:val="nil"/>
              <w:left w:val="nil"/>
              <w:bottom w:val="nil"/>
              <w:right w:val="nil"/>
            </w:tcBorders>
            <w:shd w:val="clear" w:color="auto" w:fill="auto"/>
            <w:noWrap/>
            <w:vAlign w:val="bottom"/>
            <w:hideMark/>
          </w:tcPr>
          <w:p w14:paraId="44B6BC00" w14:textId="77777777" w:rsidR="00237D87" w:rsidRPr="008D0761" w:rsidRDefault="00237D87" w:rsidP="00237D87">
            <w:pPr>
              <w:spacing w:after="0" w:line="240" w:lineRule="auto"/>
              <w:rPr>
                <w:color w:val="000000"/>
              </w:rPr>
            </w:pPr>
            <w:r w:rsidRPr="008D0761">
              <w:rPr>
                <w:color w:val="000000"/>
              </w:rPr>
              <w:t>.62</w:t>
            </w:r>
          </w:p>
        </w:tc>
        <w:tc>
          <w:tcPr>
            <w:tcW w:w="0" w:type="auto"/>
            <w:tcBorders>
              <w:top w:val="nil"/>
              <w:left w:val="nil"/>
              <w:bottom w:val="nil"/>
              <w:right w:val="nil"/>
            </w:tcBorders>
            <w:shd w:val="clear" w:color="auto" w:fill="auto"/>
            <w:noWrap/>
            <w:vAlign w:val="bottom"/>
            <w:hideMark/>
          </w:tcPr>
          <w:p w14:paraId="31571A14" w14:textId="77777777" w:rsidR="00237D87" w:rsidRPr="008D0761" w:rsidRDefault="00237D87" w:rsidP="00237D87">
            <w:pPr>
              <w:spacing w:after="0" w:line="240" w:lineRule="auto"/>
              <w:rPr>
                <w:color w:val="000000"/>
              </w:rPr>
            </w:pPr>
            <w:r w:rsidRPr="008D0761">
              <w:rPr>
                <w:color w:val="000000"/>
              </w:rPr>
              <w:t>.51</w:t>
            </w:r>
          </w:p>
        </w:tc>
        <w:tc>
          <w:tcPr>
            <w:tcW w:w="1178" w:type="dxa"/>
            <w:tcBorders>
              <w:top w:val="nil"/>
              <w:left w:val="nil"/>
              <w:bottom w:val="nil"/>
              <w:right w:val="nil"/>
            </w:tcBorders>
            <w:shd w:val="clear" w:color="auto" w:fill="auto"/>
            <w:noWrap/>
            <w:vAlign w:val="bottom"/>
            <w:hideMark/>
          </w:tcPr>
          <w:p w14:paraId="75903A8B" w14:textId="77777777" w:rsidR="00237D87" w:rsidRPr="008D0761" w:rsidRDefault="00237D87" w:rsidP="00237D87">
            <w:pPr>
              <w:spacing w:after="0" w:line="240" w:lineRule="auto"/>
              <w:rPr>
                <w:color w:val="000000"/>
              </w:rPr>
            </w:pPr>
            <w:r w:rsidRPr="00496153">
              <w:rPr>
                <w:color w:val="000000"/>
              </w:rPr>
              <w:t>.70</w:t>
            </w:r>
          </w:p>
        </w:tc>
      </w:tr>
      <w:tr w:rsidR="00237D87" w:rsidRPr="008D0761" w14:paraId="62EB2144" w14:textId="77777777" w:rsidTr="008A45BD">
        <w:trPr>
          <w:trHeight w:val="319"/>
        </w:trPr>
        <w:tc>
          <w:tcPr>
            <w:tcW w:w="0" w:type="auto"/>
            <w:tcBorders>
              <w:top w:val="nil"/>
              <w:left w:val="nil"/>
              <w:bottom w:val="nil"/>
              <w:right w:val="nil"/>
            </w:tcBorders>
            <w:shd w:val="clear" w:color="auto" w:fill="auto"/>
            <w:noWrap/>
            <w:vAlign w:val="bottom"/>
            <w:hideMark/>
          </w:tcPr>
          <w:p w14:paraId="08EE0A51" w14:textId="77777777" w:rsidR="00237D87" w:rsidRPr="008D0761" w:rsidRDefault="00237D87" w:rsidP="00237D87">
            <w:pPr>
              <w:spacing w:after="0" w:line="240" w:lineRule="auto"/>
              <w:jc w:val="left"/>
              <w:rPr>
                <w:color w:val="000000"/>
              </w:rPr>
            </w:pPr>
            <w:r w:rsidRPr="008D0761">
              <w:rPr>
                <w:color w:val="000000"/>
              </w:rPr>
              <w:t>South Asia</w:t>
            </w:r>
          </w:p>
        </w:tc>
        <w:tc>
          <w:tcPr>
            <w:tcW w:w="0" w:type="auto"/>
            <w:tcBorders>
              <w:top w:val="nil"/>
              <w:left w:val="nil"/>
              <w:bottom w:val="nil"/>
              <w:right w:val="nil"/>
            </w:tcBorders>
            <w:shd w:val="clear" w:color="auto" w:fill="auto"/>
            <w:noWrap/>
            <w:vAlign w:val="center"/>
            <w:hideMark/>
          </w:tcPr>
          <w:p w14:paraId="2F0E6E30" w14:textId="38F4C9A4" w:rsidR="00237D87" w:rsidRPr="008D0761" w:rsidRDefault="00237D87" w:rsidP="00237D87">
            <w:pPr>
              <w:spacing w:after="0" w:line="240" w:lineRule="auto"/>
              <w:rPr>
                <w:color w:val="000000"/>
              </w:rPr>
            </w:pPr>
            <w:r>
              <w:rPr>
                <w:color w:val="000000"/>
              </w:rPr>
              <w:t>.77</w:t>
            </w:r>
          </w:p>
        </w:tc>
        <w:tc>
          <w:tcPr>
            <w:tcW w:w="0" w:type="auto"/>
            <w:tcBorders>
              <w:top w:val="nil"/>
              <w:left w:val="nil"/>
              <w:bottom w:val="nil"/>
              <w:right w:val="nil"/>
            </w:tcBorders>
            <w:shd w:val="clear" w:color="auto" w:fill="auto"/>
            <w:noWrap/>
            <w:vAlign w:val="center"/>
            <w:hideMark/>
          </w:tcPr>
          <w:p w14:paraId="57A5FA15" w14:textId="6A6F4797" w:rsidR="00237D87" w:rsidRPr="008D0761" w:rsidRDefault="00237D87" w:rsidP="00237D87">
            <w:pPr>
              <w:spacing w:after="0" w:line="240" w:lineRule="auto"/>
              <w:rPr>
                <w:color w:val="000000"/>
              </w:rPr>
            </w:pPr>
            <w:r>
              <w:rPr>
                <w:color w:val="000000"/>
              </w:rPr>
              <w:t>.83</w:t>
            </w:r>
          </w:p>
        </w:tc>
        <w:tc>
          <w:tcPr>
            <w:tcW w:w="0" w:type="auto"/>
            <w:tcBorders>
              <w:top w:val="nil"/>
              <w:left w:val="nil"/>
              <w:bottom w:val="nil"/>
              <w:right w:val="nil"/>
            </w:tcBorders>
            <w:shd w:val="clear" w:color="auto" w:fill="auto"/>
            <w:noWrap/>
            <w:vAlign w:val="center"/>
            <w:hideMark/>
          </w:tcPr>
          <w:p w14:paraId="1577DEE2" w14:textId="10B6B8E7" w:rsidR="00237D87" w:rsidRPr="008D0761" w:rsidRDefault="00237D87" w:rsidP="00237D87">
            <w:pPr>
              <w:spacing w:after="0" w:line="240" w:lineRule="auto"/>
              <w:rPr>
                <w:color w:val="000000"/>
              </w:rPr>
            </w:pPr>
            <w:r>
              <w:rPr>
                <w:color w:val="000000"/>
              </w:rPr>
              <w:t>.29</w:t>
            </w:r>
          </w:p>
        </w:tc>
        <w:tc>
          <w:tcPr>
            <w:tcW w:w="0" w:type="auto"/>
            <w:tcBorders>
              <w:top w:val="nil"/>
              <w:left w:val="nil"/>
              <w:bottom w:val="nil"/>
              <w:right w:val="nil"/>
            </w:tcBorders>
            <w:shd w:val="clear" w:color="auto" w:fill="auto"/>
            <w:noWrap/>
            <w:vAlign w:val="center"/>
            <w:hideMark/>
          </w:tcPr>
          <w:p w14:paraId="32AE431E" w14:textId="4D142B36" w:rsidR="00237D87" w:rsidRPr="008D0761" w:rsidRDefault="00237D87" w:rsidP="00237D87">
            <w:pPr>
              <w:spacing w:after="0" w:line="240" w:lineRule="auto"/>
              <w:rPr>
                <w:color w:val="000000"/>
              </w:rPr>
            </w:pPr>
            <w:r>
              <w:rPr>
                <w:color w:val="000000"/>
              </w:rPr>
              <w:t>.62</w:t>
            </w:r>
          </w:p>
        </w:tc>
        <w:tc>
          <w:tcPr>
            <w:tcW w:w="0" w:type="auto"/>
            <w:tcBorders>
              <w:top w:val="nil"/>
              <w:left w:val="nil"/>
              <w:bottom w:val="nil"/>
              <w:right w:val="nil"/>
            </w:tcBorders>
            <w:shd w:val="clear" w:color="auto" w:fill="auto"/>
            <w:noWrap/>
            <w:vAlign w:val="bottom"/>
            <w:hideMark/>
          </w:tcPr>
          <w:p w14:paraId="6251A685" w14:textId="77777777" w:rsidR="00237D87" w:rsidRPr="008D0761" w:rsidRDefault="00237D87" w:rsidP="00237D87">
            <w:pPr>
              <w:spacing w:after="0" w:line="240" w:lineRule="auto"/>
              <w:rPr>
                <w:color w:val="000000"/>
              </w:rPr>
            </w:pPr>
            <w:r w:rsidRPr="008D0761">
              <w:rPr>
                <w:color w:val="000000"/>
              </w:rPr>
              <w:t>.63</w:t>
            </w:r>
          </w:p>
        </w:tc>
        <w:tc>
          <w:tcPr>
            <w:tcW w:w="0" w:type="auto"/>
            <w:tcBorders>
              <w:top w:val="nil"/>
              <w:left w:val="nil"/>
              <w:bottom w:val="nil"/>
              <w:right w:val="nil"/>
            </w:tcBorders>
            <w:shd w:val="clear" w:color="auto" w:fill="auto"/>
            <w:noWrap/>
            <w:vAlign w:val="bottom"/>
            <w:hideMark/>
          </w:tcPr>
          <w:p w14:paraId="716E273D" w14:textId="77777777" w:rsidR="00237D87" w:rsidRPr="008D0761" w:rsidRDefault="00237D87" w:rsidP="00237D87">
            <w:pPr>
              <w:spacing w:after="0" w:line="240" w:lineRule="auto"/>
              <w:rPr>
                <w:color w:val="000000"/>
              </w:rPr>
            </w:pPr>
            <w:r w:rsidRPr="008D0761">
              <w:rPr>
                <w:color w:val="000000"/>
              </w:rPr>
              <w:t>.66</w:t>
            </w:r>
          </w:p>
        </w:tc>
        <w:tc>
          <w:tcPr>
            <w:tcW w:w="0" w:type="auto"/>
            <w:tcBorders>
              <w:top w:val="nil"/>
              <w:left w:val="nil"/>
              <w:bottom w:val="nil"/>
              <w:right w:val="nil"/>
            </w:tcBorders>
            <w:shd w:val="clear" w:color="auto" w:fill="auto"/>
            <w:noWrap/>
            <w:vAlign w:val="bottom"/>
            <w:hideMark/>
          </w:tcPr>
          <w:p w14:paraId="29E430B8" w14:textId="77777777" w:rsidR="00237D87" w:rsidRPr="008D0761" w:rsidRDefault="00237D87" w:rsidP="00237D87">
            <w:pPr>
              <w:spacing w:after="0" w:line="240" w:lineRule="auto"/>
              <w:rPr>
                <w:color w:val="000000"/>
              </w:rPr>
            </w:pPr>
            <w:r w:rsidRPr="008D0761">
              <w:rPr>
                <w:color w:val="000000"/>
              </w:rPr>
              <w:t>.52</w:t>
            </w:r>
          </w:p>
        </w:tc>
        <w:tc>
          <w:tcPr>
            <w:tcW w:w="0" w:type="auto"/>
            <w:tcBorders>
              <w:top w:val="nil"/>
              <w:left w:val="nil"/>
              <w:bottom w:val="nil"/>
              <w:right w:val="nil"/>
            </w:tcBorders>
            <w:shd w:val="clear" w:color="auto" w:fill="auto"/>
            <w:noWrap/>
            <w:vAlign w:val="bottom"/>
            <w:hideMark/>
          </w:tcPr>
          <w:p w14:paraId="322DC981" w14:textId="77777777" w:rsidR="00237D87" w:rsidRPr="008D0761" w:rsidRDefault="00237D87" w:rsidP="00237D87">
            <w:pPr>
              <w:spacing w:after="0" w:line="240" w:lineRule="auto"/>
              <w:rPr>
                <w:color w:val="000000"/>
              </w:rPr>
            </w:pPr>
            <w:r w:rsidRPr="008D0761">
              <w:rPr>
                <w:color w:val="000000"/>
              </w:rPr>
              <w:t>.45</w:t>
            </w:r>
          </w:p>
        </w:tc>
        <w:tc>
          <w:tcPr>
            <w:tcW w:w="1178" w:type="dxa"/>
            <w:tcBorders>
              <w:top w:val="nil"/>
              <w:left w:val="nil"/>
              <w:bottom w:val="nil"/>
              <w:right w:val="nil"/>
            </w:tcBorders>
            <w:shd w:val="clear" w:color="auto" w:fill="auto"/>
            <w:noWrap/>
            <w:vAlign w:val="bottom"/>
            <w:hideMark/>
          </w:tcPr>
          <w:p w14:paraId="2198185B" w14:textId="77777777" w:rsidR="00237D87" w:rsidRPr="008D0761" w:rsidRDefault="00237D87" w:rsidP="00237D87">
            <w:pPr>
              <w:spacing w:after="0" w:line="240" w:lineRule="auto"/>
              <w:rPr>
                <w:color w:val="000000"/>
              </w:rPr>
            </w:pPr>
            <w:r w:rsidRPr="00496153">
              <w:rPr>
                <w:color w:val="000000"/>
              </w:rPr>
              <w:t>.81</w:t>
            </w:r>
          </w:p>
        </w:tc>
      </w:tr>
      <w:tr w:rsidR="00237D87" w:rsidRPr="008D0761" w14:paraId="069E5745" w14:textId="77777777" w:rsidTr="008A45BD">
        <w:trPr>
          <w:trHeight w:val="319"/>
        </w:trPr>
        <w:tc>
          <w:tcPr>
            <w:tcW w:w="0" w:type="auto"/>
            <w:tcBorders>
              <w:top w:val="nil"/>
              <w:left w:val="nil"/>
              <w:right w:val="nil"/>
            </w:tcBorders>
            <w:shd w:val="clear" w:color="auto" w:fill="auto"/>
            <w:noWrap/>
            <w:vAlign w:val="bottom"/>
            <w:hideMark/>
          </w:tcPr>
          <w:p w14:paraId="71680F1B" w14:textId="77777777" w:rsidR="00237D87" w:rsidRPr="008D0761" w:rsidRDefault="00237D87" w:rsidP="00237D87">
            <w:pPr>
              <w:spacing w:after="0" w:line="240" w:lineRule="auto"/>
              <w:jc w:val="left"/>
              <w:rPr>
                <w:color w:val="000000"/>
              </w:rPr>
            </w:pPr>
            <w:r w:rsidRPr="008D0761">
              <w:rPr>
                <w:color w:val="000000"/>
              </w:rPr>
              <w:t>Middle East</w:t>
            </w:r>
          </w:p>
        </w:tc>
        <w:tc>
          <w:tcPr>
            <w:tcW w:w="0" w:type="auto"/>
            <w:tcBorders>
              <w:top w:val="nil"/>
              <w:left w:val="nil"/>
              <w:right w:val="nil"/>
            </w:tcBorders>
            <w:shd w:val="clear" w:color="auto" w:fill="auto"/>
            <w:noWrap/>
            <w:vAlign w:val="center"/>
            <w:hideMark/>
          </w:tcPr>
          <w:p w14:paraId="4018841B" w14:textId="6D8328BD" w:rsidR="00237D87" w:rsidRPr="008D0761" w:rsidRDefault="00237D87" w:rsidP="00237D87">
            <w:pPr>
              <w:spacing w:after="0" w:line="240" w:lineRule="auto"/>
              <w:rPr>
                <w:color w:val="000000"/>
              </w:rPr>
            </w:pPr>
            <w:r>
              <w:rPr>
                <w:color w:val="000000"/>
              </w:rPr>
              <w:t>.77</w:t>
            </w:r>
          </w:p>
        </w:tc>
        <w:tc>
          <w:tcPr>
            <w:tcW w:w="0" w:type="auto"/>
            <w:tcBorders>
              <w:top w:val="nil"/>
              <w:left w:val="nil"/>
              <w:right w:val="nil"/>
            </w:tcBorders>
            <w:shd w:val="clear" w:color="auto" w:fill="auto"/>
            <w:noWrap/>
            <w:vAlign w:val="center"/>
            <w:hideMark/>
          </w:tcPr>
          <w:p w14:paraId="0790DF0C" w14:textId="410DA26B" w:rsidR="00237D87" w:rsidRPr="008D0761" w:rsidRDefault="00237D87" w:rsidP="00237D87">
            <w:pPr>
              <w:spacing w:after="0" w:line="240" w:lineRule="auto"/>
              <w:rPr>
                <w:color w:val="000000"/>
              </w:rPr>
            </w:pPr>
            <w:r>
              <w:rPr>
                <w:color w:val="000000"/>
              </w:rPr>
              <w:t>.86</w:t>
            </w:r>
          </w:p>
        </w:tc>
        <w:tc>
          <w:tcPr>
            <w:tcW w:w="0" w:type="auto"/>
            <w:tcBorders>
              <w:top w:val="nil"/>
              <w:left w:val="nil"/>
              <w:right w:val="nil"/>
            </w:tcBorders>
            <w:shd w:val="clear" w:color="auto" w:fill="auto"/>
            <w:noWrap/>
            <w:vAlign w:val="center"/>
            <w:hideMark/>
          </w:tcPr>
          <w:p w14:paraId="5BC97DAA" w14:textId="0A00B698" w:rsidR="00237D87" w:rsidRPr="008D0761" w:rsidRDefault="00237D87" w:rsidP="00237D87">
            <w:pPr>
              <w:spacing w:after="0" w:line="240" w:lineRule="auto"/>
              <w:rPr>
                <w:color w:val="000000"/>
              </w:rPr>
            </w:pPr>
            <w:r>
              <w:rPr>
                <w:color w:val="000000"/>
              </w:rPr>
              <w:t>.41</w:t>
            </w:r>
          </w:p>
        </w:tc>
        <w:tc>
          <w:tcPr>
            <w:tcW w:w="0" w:type="auto"/>
            <w:tcBorders>
              <w:top w:val="nil"/>
              <w:left w:val="nil"/>
              <w:right w:val="nil"/>
            </w:tcBorders>
            <w:shd w:val="clear" w:color="auto" w:fill="auto"/>
            <w:noWrap/>
            <w:vAlign w:val="center"/>
            <w:hideMark/>
          </w:tcPr>
          <w:p w14:paraId="5BE6C656" w14:textId="67CE626B" w:rsidR="00237D87" w:rsidRPr="008D0761" w:rsidRDefault="00237D87" w:rsidP="00237D87">
            <w:pPr>
              <w:spacing w:after="0" w:line="240" w:lineRule="auto"/>
              <w:rPr>
                <w:color w:val="000000"/>
              </w:rPr>
            </w:pPr>
            <w:r>
              <w:rPr>
                <w:color w:val="000000"/>
              </w:rPr>
              <w:t>.59</w:t>
            </w:r>
          </w:p>
        </w:tc>
        <w:tc>
          <w:tcPr>
            <w:tcW w:w="0" w:type="auto"/>
            <w:tcBorders>
              <w:top w:val="nil"/>
              <w:left w:val="nil"/>
              <w:right w:val="nil"/>
            </w:tcBorders>
            <w:shd w:val="clear" w:color="auto" w:fill="auto"/>
            <w:noWrap/>
            <w:vAlign w:val="bottom"/>
            <w:hideMark/>
          </w:tcPr>
          <w:p w14:paraId="3F53BA71" w14:textId="77777777" w:rsidR="00237D87" w:rsidRPr="008D0761" w:rsidRDefault="00237D87" w:rsidP="00237D87">
            <w:pPr>
              <w:spacing w:after="0" w:line="240" w:lineRule="auto"/>
              <w:rPr>
                <w:color w:val="000000"/>
              </w:rPr>
            </w:pPr>
            <w:r w:rsidRPr="008D0761">
              <w:rPr>
                <w:color w:val="000000"/>
              </w:rPr>
              <w:t>.69</w:t>
            </w:r>
          </w:p>
        </w:tc>
        <w:tc>
          <w:tcPr>
            <w:tcW w:w="0" w:type="auto"/>
            <w:tcBorders>
              <w:top w:val="nil"/>
              <w:left w:val="nil"/>
              <w:right w:val="nil"/>
            </w:tcBorders>
            <w:shd w:val="clear" w:color="auto" w:fill="auto"/>
            <w:noWrap/>
            <w:vAlign w:val="bottom"/>
            <w:hideMark/>
          </w:tcPr>
          <w:p w14:paraId="0A245BCB" w14:textId="77777777" w:rsidR="00237D87" w:rsidRPr="008D0761" w:rsidRDefault="00237D87" w:rsidP="00237D87">
            <w:pPr>
              <w:spacing w:after="0" w:line="240" w:lineRule="auto"/>
              <w:rPr>
                <w:color w:val="000000"/>
              </w:rPr>
            </w:pPr>
            <w:r w:rsidRPr="008D0761">
              <w:rPr>
                <w:color w:val="000000"/>
              </w:rPr>
              <w:t>.64</w:t>
            </w:r>
          </w:p>
        </w:tc>
        <w:tc>
          <w:tcPr>
            <w:tcW w:w="0" w:type="auto"/>
            <w:tcBorders>
              <w:top w:val="nil"/>
              <w:left w:val="nil"/>
              <w:right w:val="nil"/>
            </w:tcBorders>
            <w:shd w:val="clear" w:color="auto" w:fill="auto"/>
            <w:noWrap/>
            <w:vAlign w:val="bottom"/>
            <w:hideMark/>
          </w:tcPr>
          <w:p w14:paraId="2FE22CF3" w14:textId="77777777" w:rsidR="00237D87" w:rsidRPr="008D0761" w:rsidRDefault="00237D87" w:rsidP="00237D87">
            <w:pPr>
              <w:spacing w:after="0" w:line="240" w:lineRule="auto"/>
              <w:rPr>
                <w:color w:val="000000"/>
              </w:rPr>
            </w:pPr>
            <w:r w:rsidRPr="008D0761">
              <w:rPr>
                <w:color w:val="000000"/>
              </w:rPr>
              <w:t>.51</w:t>
            </w:r>
          </w:p>
        </w:tc>
        <w:tc>
          <w:tcPr>
            <w:tcW w:w="0" w:type="auto"/>
            <w:tcBorders>
              <w:top w:val="nil"/>
              <w:left w:val="nil"/>
              <w:right w:val="nil"/>
            </w:tcBorders>
            <w:shd w:val="clear" w:color="auto" w:fill="auto"/>
            <w:noWrap/>
            <w:vAlign w:val="bottom"/>
            <w:hideMark/>
          </w:tcPr>
          <w:p w14:paraId="12E33495" w14:textId="77777777" w:rsidR="00237D87" w:rsidRPr="008D0761" w:rsidRDefault="00237D87" w:rsidP="00237D87">
            <w:pPr>
              <w:spacing w:after="0" w:line="240" w:lineRule="auto"/>
              <w:rPr>
                <w:color w:val="000000"/>
              </w:rPr>
            </w:pPr>
            <w:r w:rsidRPr="008D0761">
              <w:rPr>
                <w:color w:val="000000"/>
              </w:rPr>
              <w:t>.50</w:t>
            </w:r>
          </w:p>
        </w:tc>
        <w:tc>
          <w:tcPr>
            <w:tcW w:w="1178" w:type="dxa"/>
            <w:tcBorders>
              <w:top w:val="nil"/>
              <w:left w:val="nil"/>
              <w:right w:val="nil"/>
            </w:tcBorders>
            <w:shd w:val="clear" w:color="auto" w:fill="auto"/>
            <w:noWrap/>
            <w:vAlign w:val="bottom"/>
            <w:hideMark/>
          </w:tcPr>
          <w:p w14:paraId="3164E47D" w14:textId="77777777" w:rsidR="00237D87" w:rsidRPr="008D0761" w:rsidRDefault="00237D87" w:rsidP="00237D87">
            <w:pPr>
              <w:spacing w:after="0" w:line="240" w:lineRule="auto"/>
              <w:rPr>
                <w:color w:val="000000"/>
              </w:rPr>
            </w:pPr>
            <w:r w:rsidRPr="00496153">
              <w:rPr>
                <w:color w:val="000000"/>
              </w:rPr>
              <w:t>.83</w:t>
            </w:r>
          </w:p>
        </w:tc>
      </w:tr>
      <w:tr w:rsidR="00237D87" w:rsidRPr="008D0761" w14:paraId="6E638D74" w14:textId="77777777" w:rsidTr="00750ACB">
        <w:trPr>
          <w:trHeight w:val="319"/>
        </w:trPr>
        <w:tc>
          <w:tcPr>
            <w:tcW w:w="0" w:type="auto"/>
            <w:tcBorders>
              <w:top w:val="nil"/>
              <w:left w:val="nil"/>
              <w:bottom w:val="single" w:sz="4" w:space="0" w:color="auto"/>
              <w:right w:val="nil"/>
            </w:tcBorders>
            <w:shd w:val="clear" w:color="auto" w:fill="auto"/>
            <w:noWrap/>
            <w:vAlign w:val="bottom"/>
            <w:hideMark/>
          </w:tcPr>
          <w:p w14:paraId="0386ACF7" w14:textId="77777777" w:rsidR="00237D87" w:rsidRPr="008D0761" w:rsidRDefault="00237D87" w:rsidP="00237D87">
            <w:pPr>
              <w:spacing w:after="0" w:line="240" w:lineRule="auto"/>
              <w:jc w:val="left"/>
              <w:rPr>
                <w:color w:val="000000"/>
              </w:rPr>
            </w:pPr>
            <w:r w:rsidRPr="008D0761">
              <w:rPr>
                <w:color w:val="000000"/>
              </w:rPr>
              <w:t>Africa</w:t>
            </w:r>
          </w:p>
        </w:tc>
        <w:tc>
          <w:tcPr>
            <w:tcW w:w="0" w:type="auto"/>
            <w:tcBorders>
              <w:top w:val="nil"/>
              <w:left w:val="nil"/>
              <w:bottom w:val="single" w:sz="4" w:space="0" w:color="auto"/>
              <w:right w:val="nil"/>
            </w:tcBorders>
            <w:shd w:val="clear" w:color="auto" w:fill="auto"/>
            <w:noWrap/>
            <w:vAlign w:val="center"/>
            <w:hideMark/>
          </w:tcPr>
          <w:p w14:paraId="60A62A5D" w14:textId="40388706" w:rsidR="00237D87" w:rsidRPr="008D0761" w:rsidRDefault="00237D87" w:rsidP="00237D87">
            <w:pPr>
              <w:spacing w:after="0" w:line="240" w:lineRule="auto"/>
              <w:rPr>
                <w:color w:val="000000"/>
              </w:rPr>
            </w:pPr>
            <w:r>
              <w:rPr>
                <w:color w:val="000000"/>
              </w:rPr>
              <w:t>.72</w:t>
            </w:r>
          </w:p>
        </w:tc>
        <w:tc>
          <w:tcPr>
            <w:tcW w:w="0" w:type="auto"/>
            <w:tcBorders>
              <w:top w:val="nil"/>
              <w:left w:val="nil"/>
              <w:bottom w:val="single" w:sz="4" w:space="0" w:color="auto"/>
              <w:right w:val="nil"/>
            </w:tcBorders>
            <w:shd w:val="clear" w:color="auto" w:fill="auto"/>
            <w:noWrap/>
            <w:vAlign w:val="center"/>
            <w:hideMark/>
          </w:tcPr>
          <w:p w14:paraId="61B4192F" w14:textId="58B94616" w:rsidR="00237D87" w:rsidRPr="008D0761" w:rsidRDefault="00237D87" w:rsidP="00237D87">
            <w:pPr>
              <w:spacing w:after="0" w:line="240" w:lineRule="auto"/>
              <w:rPr>
                <w:color w:val="000000"/>
              </w:rPr>
            </w:pPr>
            <w:r>
              <w:rPr>
                <w:color w:val="000000"/>
              </w:rPr>
              <w:t>.81</w:t>
            </w:r>
          </w:p>
        </w:tc>
        <w:tc>
          <w:tcPr>
            <w:tcW w:w="0" w:type="auto"/>
            <w:tcBorders>
              <w:top w:val="nil"/>
              <w:left w:val="nil"/>
              <w:bottom w:val="single" w:sz="4" w:space="0" w:color="auto"/>
              <w:right w:val="nil"/>
            </w:tcBorders>
            <w:shd w:val="clear" w:color="auto" w:fill="auto"/>
            <w:noWrap/>
            <w:vAlign w:val="center"/>
            <w:hideMark/>
          </w:tcPr>
          <w:p w14:paraId="55371363" w14:textId="3E26864E" w:rsidR="00237D87" w:rsidRPr="008D0761" w:rsidRDefault="00237D87" w:rsidP="00237D87">
            <w:pPr>
              <w:spacing w:after="0" w:line="240" w:lineRule="auto"/>
              <w:rPr>
                <w:color w:val="000000"/>
              </w:rPr>
            </w:pPr>
            <w:r>
              <w:rPr>
                <w:color w:val="000000"/>
              </w:rPr>
              <w:t>.42</w:t>
            </w:r>
          </w:p>
        </w:tc>
        <w:tc>
          <w:tcPr>
            <w:tcW w:w="0" w:type="auto"/>
            <w:tcBorders>
              <w:top w:val="nil"/>
              <w:left w:val="nil"/>
              <w:bottom w:val="single" w:sz="4" w:space="0" w:color="auto"/>
              <w:right w:val="nil"/>
            </w:tcBorders>
            <w:shd w:val="clear" w:color="auto" w:fill="auto"/>
            <w:noWrap/>
            <w:vAlign w:val="center"/>
            <w:hideMark/>
          </w:tcPr>
          <w:p w14:paraId="3CEFABB6" w14:textId="4BC70920" w:rsidR="00237D87" w:rsidRPr="008D0761" w:rsidRDefault="00237D87" w:rsidP="00237D87">
            <w:pPr>
              <w:spacing w:after="0" w:line="240" w:lineRule="auto"/>
              <w:rPr>
                <w:color w:val="000000"/>
              </w:rPr>
            </w:pPr>
            <w:r>
              <w:rPr>
                <w:color w:val="000000"/>
              </w:rPr>
              <w:t>.51</w:t>
            </w:r>
          </w:p>
        </w:tc>
        <w:tc>
          <w:tcPr>
            <w:tcW w:w="0" w:type="auto"/>
            <w:tcBorders>
              <w:top w:val="nil"/>
              <w:left w:val="nil"/>
              <w:bottom w:val="single" w:sz="4" w:space="0" w:color="auto"/>
              <w:right w:val="nil"/>
            </w:tcBorders>
            <w:shd w:val="clear" w:color="auto" w:fill="auto"/>
            <w:noWrap/>
            <w:vAlign w:val="bottom"/>
            <w:hideMark/>
          </w:tcPr>
          <w:p w14:paraId="519B2A6D" w14:textId="77777777" w:rsidR="00237D87" w:rsidRPr="008D0761" w:rsidRDefault="00237D87" w:rsidP="00237D87">
            <w:pPr>
              <w:spacing w:after="0" w:line="240" w:lineRule="auto"/>
              <w:rPr>
                <w:color w:val="000000"/>
              </w:rPr>
            </w:pPr>
            <w:r w:rsidRPr="008D0761">
              <w:rPr>
                <w:color w:val="000000"/>
              </w:rPr>
              <w:t>.55</w:t>
            </w:r>
          </w:p>
        </w:tc>
        <w:tc>
          <w:tcPr>
            <w:tcW w:w="0" w:type="auto"/>
            <w:tcBorders>
              <w:top w:val="nil"/>
              <w:left w:val="nil"/>
              <w:bottom w:val="single" w:sz="4" w:space="0" w:color="auto"/>
              <w:right w:val="nil"/>
            </w:tcBorders>
            <w:shd w:val="clear" w:color="auto" w:fill="auto"/>
            <w:noWrap/>
            <w:vAlign w:val="bottom"/>
            <w:hideMark/>
          </w:tcPr>
          <w:p w14:paraId="48B7721C" w14:textId="77777777" w:rsidR="00237D87" w:rsidRPr="008D0761" w:rsidRDefault="00237D87" w:rsidP="00237D87">
            <w:pPr>
              <w:spacing w:after="0" w:line="240" w:lineRule="auto"/>
              <w:rPr>
                <w:color w:val="000000"/>
              </w:rPr>
            </w:pPr>
            <w:r w:rsidRPr="008D0761">
              <w:rPr>
                <w:color w:val="000000"/>
              </w:rPr>
              <w:t>.55</w:t>
            </w:r>
          </w:p>
        </w:tc>
        <w:tc>
          <w:tcPr>
            <w:tcW w:w="0" w:type="auto"/>
            <w:tcBorders>
              <w:top w:val="nil"/>
              <w:left w:val="nil"/>
              <w:bottom w:val="single" w:sz="4" w:space="0" w:color="auto"/>
              <w:right w:val="nil"/>
            </w:tcBorders>
            <w:shd w:val="clear" w:color="auto" w:fill="auto"/>
            <w:noWrap/>
            <w:vAlign w:val="bottom"/>
            <w:hideMark/>
          </w:tcPr>
          <w:p w14:paraId="40A18632" w14:textId="77777777" w:rsidR="00237D87" w:rsidRPr="008D0761" w:rsidRDefault="00237D87" w:rsidP="00237D87">
            <w:pPr>
              <w:spacing w:after="0" w:line="240" w:lineRule="auto"/>
              <w:rPr>
                <w:color w:val="000000"/>
              </w:rPr>
            </w:pPr>
            <w:r w:rsidRPr="008D0761">
              <w:rPr>
                <w:color w:val="000000"/>
              </w:rPr>
              <w:t>.48</w:t>
            </w:r>
          </w:p>
        </w:tc>
        <w:tc>
          <w:tcPr>
            <w:tcW w:w="0" w:type="auto"/>
            <w:tcBorders>
              <w:top w:val="nil"/>
              <w:left w:val="nil"/>
              <w:bottom w:val="single" w:sz="4" w:space="0" w:color="auto"/>
              <w:right w:val="nil"/>
            </w:tcBorders>
            <w:shd w:val="clear" w:color="auto" w:fill="auto"/>
            <w:noWrap/>
            <w:vAlign w:val="bottom"/>
            <w:hideMark/>
          </w:tcPr>
          <w:p w14:paraId="0FA606D5" w14:textId="77777777" w:rsidR="00237D87" w:rsidRPr="008D0761" w:rsidRDefault="00237D87" w:rsidP="00237D87">
            <w:pPr>
              <w:spacing w:after="0" w:line="240" w:lineRule="auto"/>
              <w:rPr>
                <w:color w:val="000000"/>
              </w:rPr>
            </w:pPr>
            <w:r w:rsidRPr="008D0761">
              <w:rPr>
                <w:color w:val="000000"/>
              </w:rPr>
              <w:t>.46</w:t>
            </w:r>
          </w:p>
        </w:tc>
        <w:tc>
          <w:tcPr>
            <w:tcW w:w="1178" w:type="dxa"/>
            <w:tcBorders>
              <w:top w:val="nil"/>
              <w:left w:val="nil"/>
              <w:bottom w:val="single" w:sz="4" w:space="0" w:color="auto"/>
              <w:right w:val="nil"/>
            </w:tcBorders>
            <w:shd w:val="clear" w:color="auto" w:fill="auto"/>
            <w:noWrap/>
            <w:vAlign w:val="bottom"/>
            <w:hideMark/>
          </w:tcPr>
          <w:p w14:paraId="6F60C49C" w14:textId="77777777" w:rsidR="00237D87" w:rsidRPr="008D0761" w:rsidRDefault="00237D87" w:rsidP="00237D87">
            <w:pPr>
              <w:spacing w:after="0" w:line="240" w:lineRule="auto"/>
              <w:rPr>
                <w:color w:val="000000"/>
              </w:rPr>
            </w:pPr>
            <w:r w:rsidRPr="00496153">
              <w:rPr>
                <w:color w:val="000000"/>
              </w:rPr>
              <w:t>.85</w:t>
            </w:r>
          </w:p>
        </w:tc>
      </w:tr>
      <w:tr w:rsidR="008A45BD" w:rsidRPr="008D0761" w14:paraId="4F036655" w14:textId="77777777" w:rsidTr="00750ACB">
        <w:trPr>
          <w:trHeight w:val="319"/>
        </w:trPr>
        <w:tc>
          <w:tcPr>
            <w:tcW w:w="0" w:type="auto"/>
            <w:tcBorders>
              <w:top w:val="single" w:sz="4" w:space="0" w:color="auto"/>
              <w:left w:val="nil"/>
              <w:bottom w:val="single" w:sz="4" w:space="0" w:color="auto"/>
              <w:right w:val="nil"/>
            </w:tcBorders>
            <w:shd w:val="clear" w:color="auto" w:fill="auto"/>
            <w:noWrap/>
            <w:vAlign w:val="center"/>
          </w:tcPr>
          <w:p w14:paraId="1AA810C8" w14:textId="7C5C05D3" w:rsidR="008A45BD" w:rsidRPr="008A45BD" w:rsidRDefault="008A45BD" w:rsidP="008A45BD">
            <w:pPr>
              <w:spacing w:after="0" w:line="240" w:lineRule="auto"/>
              <w:rPr>
                <w:b/>
                <w:bCs/>
                <w:color w:val="000000"/>
              </w:rPr>
            </w:pPr>
            <w:r w:rsidRPr="008A45BD">
              <w:rPr>
                <w:b/>
                <w:bCs/>
                <w:color w:val="000000"/>
              </w:rPr>
              <w:t>Average</w:t>
            </w:r>
          </w:p>
        </w:tc>
        <w:tc>
          <w:tcPr>
            <w:tcW w:w="0" w:type="auto"/>
            <w:tcBorders>
              <w:top w:val="single" w:sz="4" w:space="0" w:color="auto"/>
              <w:left w:val="nil"/>
              <w:bottom w:val="single" w:sz="4" w:space="0" w:color="auto"/>
              <w:right w:val="nil"/>
            </w:tcBorders>
            <w:shd w:val="clear" w:color="auto" w:fill="auto"/>
            <w:noWrap/>
            <w:vAlign w:val="center"/>
          </w:tcPr>
          <w:p w14:paraId="3C987730" w14:textId="10AAE969" w:rsidR="008A45BD" w:rsidRPr="008A45BD" w:rsidRDefault="008A45BD" w:rsidP="008A45BD">
            <w:pPr>
              <w:spacing w:after="0" w:line="240" w:lineRule="auto"/>
              <w:rPr>
                <w:color w:val="000000"/>
              </w:rPr>
            </w:pPr>
            <w:r w:rsidRPr="008A45BD">
              <w:rPr>
                <w:color w:val="000000"/>
              </w:rPr>
              <w:t>.83</w:t>
            </w:r>
          </w:p>
        </w:tc>
        <w:tc>
          <w:tcPr>
            <w:tcW w:w="0" w:type="auto"/>
            <w:tcBorders>
              <w:top w:val="single" w:sz="4" w:space="0" w:color="auto"/>
              <w:left w:val="nil"/>
              <w:bottom w:val="single" w:sz="4" w:space="0" w:color="auto"/>
              <w:right w:val="nil"/>
            </w:tcBorders>
            <w:shd w:val="clear" w:color="auto" w:fill="auto"/>
            <w:noWrap/>
            <w:vAlign w:val="center"/>
          </w:tcPr>
          <w:p w14:paraId="40213E8F" w14:textId="07C927A8" w:rsidR="008A45BD" w:rsidRPr="008A45BD" w:rsidRDefault="008A45BD" w:rsidP="008A45BD">
            <w:pPr>
              <w:spacing w:after="0" w:line="240" w:lineRule="auto"/>
              <w:rPr>
                <w:color w:val="000000"/>
              </w:rPr>
            </w:pPr>
            <w:r w:rsidRPr="008A45BD">
              <w:rPr>
                <w:color w:val="000000"/>
              </w:rPr>
              <w:t>.84</w:t>
            </w:r>
          </w:p>
        </w:tc>
        <w:tc>
          <w:tcPr>
            <w:tcW w:w="0" w:type="auto"/>
            <w:tcBorders>
              <w:top w:val="single" w:sz="4" w:space="0" w:color="auto"/>
              <w:left w:val="nil"/>
              <w:bottom w:val="single" w:sz="4" w:space="0" w:color="auto"/>
              <w:right w:val="nil"/>
            </w:tcBorders>
            <w:shd w:val="clear" w:color="auto" w:fill="auto"/>
            <w:noWrap/>
            <w:vAlign w:val="center"/>
          </w:tcPr>
          <w:p w14:paraId="5669D0C9" w14:textId="4B030896" w:rsidR="008A45BD" w:rsidRPr="008A45BD" w:rsidRDefault="008A45BD" w:rsidP="008A45BD">
            <w:pPr>
              <w:spacing w:after="0" w:line="240" w:lineRule="auto"/>
              <w:rPr>
                <w:color w:val="000000"/>
              </w:rPr>
            </w:pPr>
            <w:r w:rsidRPr="008A45BD">
              <w:rPr>
                <w:color w:val="000000"/>
              </w:rPr>
              <w:t>.56</w:t>
            </w:r>
          </w:p>
        </w:tc>
        <w:tc>
          <w:tcPr>
            <w:tcW w:w="0" w:type="auto"/>
            <w:tcBorders>
              <w:top w:val="single" w:sz="4" w:space="0" w:color="auto"/>
              <w:left w:val="nil"/>
              <w:bottom w:val="single" w:sz="4" w:space="0" w:color="auto"/>
              <w:right w:val="nil"/>
            </w:tcBorders>
            <w:shd w:val="clear" w:color="auto" w:fill="auto"/>
            <w:noWrap/>
            <w:vAlign w:val="center"/>
          </w:tcPr>
          <w:p w14:paraId="347B8AE2" w14:textId="4E6D30F1" w:rsidR="008A45BD" w:rsidRPr="008A45BD" w:rsidRDefault="008A45BD" w:rsidP="008A45BD">
            <w:pPr>
              <w:spacing w:after="0" w:line="240" w:lineRule="auto"/>
              <w:rPr>
                <w:color w:val="000000"/>
              </w:rPr>
            </w:pPr>
            <w:r w:rsidRPr="008A45BD">
              <w:rPr>
                <w:color w:val="000000"/>
              </w:rPr>
              <w:t>.60</w:t>
            </w:r>
          </w:p>
        </w:tc>
        <w:tc>
          <w:tcPr>
            <w:tcW w:w="0" w:type="auto"/>
            <w:tcBorders>
              <w:top w:val="single" w:sz="4" w:space="0" w:color="auto"/>
              <w:left w:val="nil"/>
              <w:bottom w:val="single" w:sz="4" w:space="0" w:color="auto"/>
              <w:right w:val="nil"/>
            </w:tcBorders>
            <w:shd w:val="clear" w:color="auto" w:fill="auto"/>
            <w:noWrap/>
            <w:vAlign w:val="center"/>
          </w:tcPr>
          <w:p w14:paraId="028BCE1B" w14:textId="4DFB6E35" w:rsidR="008A45BD" w:rsidRPr="008A45BD" w:rsidRDefault="008A45BD" w:rsidP="008A45BD">
            <w:pPr>
              <w:spacing w:after="0" w:line="240" w:lineRule="auto"/>
              <w:rPr>
                <w:color w:val="000000"/>
              </w:rPr>
            </w:pPr>
            <w:r w:rsidRPr="008A45BD">
              <w:rPr>
                <w:color w:val="000000"/>
              </w:rPr>
              <w:t>.76</w:t>
            </w:r>
          </w:p>
        </w:tc>
        <w:tc>
          <w:tcPr>
            <w:tcW w:w="0" w:type="auto"/>
            <w:tcBorders>
              <w:top w:val="single" w:sz="4" w:space="0" w:color="auto"/>
              <w:left w:val="nil"/>
              <w:bottom w:val="single" w:sz="4" w:space="0" w:color="auto"/>
              <w:right w:val="nil"/>
            </w:tcBorders>
            <w:shd w:val="clear" w:color="auto" w:fill="auto"/>
            <w:noWrap/>
            <w:vAlign w:val="center"/>
          </w:tcPr>
          <w:p w14:paraId="486E98A8" w14:textId="41BFCD3B" w:rsidR="008A45BD" w:rsidRPr="008A45BD" w:rsidRDefault="008A45BD" w:rsidP="008A45BD">
            <w:pPr>
              <w:spacing w:after="0" w:line="240" w:lineRule="auto"/>
              <w:rPr>
                <w:color w:val="000000"/>
              </w:rPr>
            </w:pPr>
            <w:r w:rsidRPr="008A45BD">
              <w:rPr>
                <w:color w:val="000000"/>
              </w:rPr>
              <w:t>.65</w:t>
            </w:r>
          </w:p>
        </w:tc>
        <w:tc>
          <w:tcPr>
            <w:tcW w:w="0" w:type="auto"/>
            <w:tcBorders>
              <w:top w:val="single" w:sz="4" w:space="0" w:color="auto"/>
              <w:left w:val="nil"/>
              <w:bottom w:val="single" w:sz="4" w:space="0" w:color="auto"/>
              <w:right w:val="nil"/>
            </w:tcBorders>
            <w:shd w:val="clear" w:color="auto" w:fill="auto"/>
            <w:noWrap/>
            <w:vAlign w:val="center"/>
          </w:tcPr>
          <w:p w14:paraId="55E33D5F" w14:textId="76313270" w:rsidR="008A45BD" w:rsidRPr="008A45BD" w:rsidRDefault="008A45BD" w:rsidP="008A45BD">
            <w:pPr>
              <w:spacing w:after="0" w:line="240" w:lineRule="auto"/>
              <w:rPr>
                <w:color w:val="000000"/>
              </w:rPr>
            </w:pPr>
            <w:r w:rsidRPr="008A45BD">
              <w:rPr>
                <w:color w:val="000000"/>
              </w:rPr>
              <w:t>.60</w:t>
            </w:r>
          </w:p>
        </w:tc>
        <w:tc>
          <w:tcPr>
            <w:tcW w:w="0" w:type="auto"/>
            <w:tcBorders>
              <w:top w:val="single" w:sz="4" w:space="0" w:color="auto"/>
              <w:left w:val="nil"/>
              <w:bottom w:val="single" w:sz="4" w:space="0" w:color="auto"/>
              <w:right w:val="nil"/>
            </w:tcBorders>
            <w:shd w:val="clear" w:color="auto" w:fill="auto"/>
            <w:noWrap/>
            <w:vAlign w:val="center"/>
          </w:tcPr>
          <w:p w14:paraId="09B65C47" w14:textId="5868E301" w:rsidR="008A45BD" w:rsidRPr="008A45BD" w:rsidRDefault="008A45BD" w:rsidP="008A45BD">
            <w:pPr>
              <w:spacing w:after="0" w:line="240" w:lineRule="auto"/>
              <w:rPr>
                <w:color w:val="000000"/>
              </w:rPr>
            </w:pPr>
            <w:r w:rsidRPr="008A45BD">
              <w:rPr>
                <w:color w:val="000000"/>
              </w:rPr>
              <w:t>.48</w:t>
            </w:r>
          </w:p>
        </w:tc>
        <w:tc>
          <w:tcPr>
            <w:tcW w:w="1178" w:type="dxa"/>
            <w:tcBorders>
              <w:top w:val="single" w:sz="4" w:space="0" w:color="auto"/>
              <w:left w:val="nil"/>
              <w:bottom w:val="single" w:sz="4" w:space="0" w:color="auto"/>
              <w:right w:val="nil"/>
            </w:tcBorders>
            <w:shd w:val="clear" w:color="auto" w:fill="auto"/>
            <w:noWrap/>
            <w:vAlign w:val="center"/>
          </w:tcPr>
          <w:p w14:paraId="33FEBF73" w14:textId="4AD981FE" w:rsidR="008A45BD" w:rsidRPr="008A45BD" w:rsidRDefault="008A45BD" w:rsidP="008A45BD">
            <w:pPr>
              <w:spacing w:after="0" w:line="240" w:lineRule="auto"/>
              <w:rPr>
                <w:color w:val="000000"/>
              </w:rPr>
            </w:pPr>
            <w:r w:rsidRPr="008A45BD">
              <w:rPr>
                <w:color w:val="000000"/>
              </w:rPr>
              <w:t>.78</w:t>
            </w:r>
          </w:p>
        </w:tc>
      </w:tr>
      <w:tr w:rsidR="008A45BD" w:rsidRPr="008D0761" w14:paraId="222EE962" w14:textId="77777777" w:rsidTr="004A3A35">
        <w:trPr>
          <w:trHeight w:val="319"/>
        </w:trPr>
        <w:tc>
          <w:tcPr>
            <w:tcW w:w="10190" w:type="dxa"/>
            <w:gridSpan w:val="10"/>
            <w:tcBorders>
              <w:top w:val="single" w:sz="4" w:space="0" w:color="auto"/>
              <w:left w:val="nil"/>
              <w:bottom w:val="single" w:sz="4" w:space="0" w:color="auto"/>
              <w:right w:val="nil"/>
            </w:tcBorders>
            <w:shd w:val="clear" w:color="auto" w:fill="auto"/>
            <w:noWrap/>
            <w:vAlign w:val="center"/>
          </w:tcPr>
          <w:p w14:paraId="7B0FA4B7" w14:textId="5BEF073C" w:rsidR="008A45BD" w:rsidRPr="008A45BD" w:rsidRDefault="008A45BD" w:rsidP="008A45BD">
            <w:pPr>
              <w:spacing w:after="0" w:line="240" w:lineRule="auto"/>
              <w:jc w:val="left"/>
              <w:rPr>
                <w:color w:val="000000"/>
              </w:rPr>
            </w:pPr>
            <w:r w:rsidRPr="00B424C0">
              <w:rPr>
                <w:i/>
                <w:iCs/>
                <w:color w:val="000000"/>
              </w:rPr>
              <w:lastRenderedPageBreak/>
              <w:t>Note</w:t>
            </w:r>
            <w:r>
              <w:rPr>
                <w:color w:val="000000"/>
              </w:rPr>
              <w:t xml:space="preserve">. </w:t>
            </w:r>
            <w:r w:rsidRPr="00BC2FCF">
              <w:t>ω</w:t>
            </w:r>
            <w:r w:rsidRPr="00482D67">
              <w:rPr>
                <w:i/>
                <w:iCs/>
                <w:vertAlign w:val="subscript"/>
              </w:rPr>
              <w:t>t</w:t>
            </w:r>
            <w:r>
              <w:t xml:space="preserve"> = total common variance, </w:t>
            </w:r>
            <w:r w:rsidRPr="00BC2FCF">
              <w:t>ω</w:t>
            </w:r>
            <w:r w:rsidRPr="00482D67">
              <w:rPr>
                <w:i/>
                <w:iCs/>
                <w:vertAlign w:val="subscript"/>
              </w:rPr>
              <w:t>h</w:t>
            </w:r>
            <w:r>
              <w:t xml:space="preserve"> = general factor saturation, </w:t>
            </w:r>
            <w:r w:rsidRPr="00BC2FCF">
              <w:t>β</w:t>
            </w:r>
            <w:r>
              <w:t xml:space="preserve"> = smallest split half reliability, </w:t>
            </w:r>
            <m:oMath>
              <m:acc>
                <m:accPr>
                  <m:chr m:val="̅"/>
                  <m:ctrlPr>
                    <w:rPr>
                      <w:rFonts w:ascii="Cambria Math" w:hAnsi="Cambria Math"/>
                      <w:i/>
                      <w:iCs/>
                    </w:rPr>
                  </m:ctrlPr>
                </m:accPr>
                <m:e>
                  <m:r>
                    <w:rPr>
                      <w:rFonts w:ascii="Cambria Math" w:hAnsi="Cambria Math"/>
                    </w:rPr>
                    <m:t>h</m:t>
                  </m:r>
                </m:e>
              </m:acc>
            </m:oMath>
            <w:r w:rsidRPr="00582CB8">
              <w:rPr>
                <w:vertAlign w:val="superscript"/>
              </w:rPr>
              <w:t>2</w:t>
            </w:r>
            <w:r>
              <w:t xml:space="preserve"> = average communality score.</w:t>
            </w:r>
          </w:p>
        </w:tc>
      </w:tr>
    </w:tbl>
    <w:p w14:paraId="1365067F" w14:textId="77777777" w:rsidR="009177AB" w:rsidRPr="00485B29" w:rsidRDefault="009177AB" w:rsidP="00F5763B">
      <w:pPr>
        <w:spacing w:after="0"/>
        <w:jc w:val="left"/>
      </w:pPr>
    </w:p>
    <w:p w14:paraId="330B8EEA" w14:textId="38DE5952" w:rsidR="00135A64" w:rsidRPr="00DE1B22" w:rsidRDefault="00135A64" w:rsidP="00C66D5C">
      <w:pPr>
        <w:spacing w:after="0"/>
        <w:ind w:left="720"/>
        <w:jc w:val="left"/>
        <w:rPr>
          <w:b/>
          <w:bCs/>
        </w:rPr>
      </w:pPr>
      <w:r w:rsidRPr="00DE1B22">
        <w:rPr>
          <w:b/>
          <w:bCs/>
        </w:rPr>
        <w:t>Total Common Variance</w:t>
      </w:r>
      <w:r w:rsidR="00D2779C">
        <w:rPr>
          <w:b/>
          <w:bCs/>
        </w:rPr>
        <w:t xml:space="preserve"> (</w:t>
      </w:r>
      <w:r w:rsidR="00D2779C" w:rsidRPr="001F6719">
        <w:rPr>
          <w:b/>
          <w:bCs/>
          <w:i/>
          <w:iCs/>
        </w:rPr>
        <w:t>ω</w:t>
      </w:r>
      <w:r w:rsidR="00D2779C" w:rsidRPr="001F6719">
        <w:rPr>
          <w:b/>
          <w:bCs/>
          <w:i/>
          <w:iCs/>
          <w:vertAlign w:val="subscript"/>
        </w:rPr>
        <w:t>t</w:t>
      </w:r>
      <w:r w:rsidR="00D2779C">
        <w:rPr>
          <w:b/>
          <w:bCs/>
        </w:rPr>
        <w:t>)</w:t>
      </w:r>
      <w:r w:rsidR="00DE1B22">
        <w:rPr>
          <w:b/>
          <w:bCs/>
        </w:rPr>
        <w:t>.</w:t>
      </w:r>
    </w:p>
    <w:p w14:paraId="045976AF" w14:textId="69C7E9D6" w:rsidR="000E24FF" w:rsidRDefault="000E24FF" w:rsidP="00C66D5C">
      <w:pPr>
        <w:spacing w:after="0"/>
        <w:jc w:val="left"/>
      </w:pPr>
      <w:r>
        <w:tab/>
      </w:r>
      <w:r w:rsidR="00F5763B">
        <w:t>We first estimated the total reliability of the happiness measures using McDonald’s (199</w:t>
      </w:r>
      <w:r w:rsidR="00891507">
        <w:t>9</w:t>
      </w:r>
      <w:r w:rsidR="00F5763B">
        <w:t xml:space="preserve">) omega total </w:t>
      </w:r>
      <w:r w:rsidR="00FC6A66">
        <w:t>(</w:t>
      </w:r>
      <w:r w:rsidR="00F5763B" w:rsidRPr="001F6719">
        <w:rPr>
          <w:i/>
          <w:iCs/>
        </w:rPr>
        <w:t>ω</w:t>
      </w:r>
      <w:r w:rsidR="00F5763B" w:rsidRPr="00F5763B">
        <w:rPr>
          <w:i/>
          <w:iCs/>
          <w:vertAlign w:val="subscript"/>
        </w:rPr>
        <w:t>t</w:t>
      </w:r>
      <w:r w:rsidR="00FC6A66">
        <w:rPr>
          <w:i/>
          <w:iCs/>
        </w:rPr>
        <w:t>).</w:t>
      </w:r>
      <w:r w:rsidR="00F5763B">
        <w:t xml:space="preserve"> </w:t>
      </w:r>
      <w:r w:rsidR="00FC6A66">
        <w:t xml:space="preserve">This metric is similar to Cronbach’s alpha, and can be interpreted along the same scale, but provides a better estimate of reliability </w:t>
      </w:r>
      <w:r w:rsidR="00FC6A66">
        <w:fldChar w:fldCharType="begin" w:fldLock="1"/>
      </w:r>
      <w:r w:rsidR="00FC6A66">
        <w:instrText>ADDIN CSL_CITATION {"citationItems":[{"id":"ITEM-1","itemData":{"DOI":"10.1037/pas0000754","ISSN":"1939134X","abstract":"Reliability is a fundamental problem for measurement in all of science. Although defined in multiple ways, and estimated in even more ways, the basic concepts seem straightforward and need to be understood by practitioners as well as methodologists. Reliability theory is not just for the psychometrician estimating latent variables, it is for everyone who wants to make inferences from measures of individuals or of groups. For the case of a single test administration, we consider multiple measures of reliability, ranging from the worst (β) to average (α, λ3) to best (λ4) split half reliabilities, and consider why model-based estimates (ωh, ωt) should be reported. We also address the utility of test-retest and alternate form reliabilities. The advantages of immediate versus delayed retests to decompose observed score variance into specific, state, and trait scores are discussed. But reliability is not just for test scores, it is also important when evaluating the use of ratings. Estimates that may be applied to continuous data include a set of intraclass correlations while discrete categorical data needs to take advantage of the family of κ statistics. Examples of these various reliability estimates are given using state and trait measures of anxiety given with different delays and under different conditions. An online supplemental materials is provided with more detail and elaboration. The online supplemental materials is also used to demonstrate applications of open source software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Assessment","id":"ITEM-1","issue":"12","issued":{"date-parts":[["2019"]]},"page":"1395-1411","title":"Reliability from α to ω: A tutorial","type":"article-journal","volume":"31"},"uris":["http://www.mendeley.com/documents/?uuid=5d742a7a-daa4-4bfc-99f5-16aee31e128a"]}],"mendeley":{"formattedCitation":"(Revelle &amp; Condon, 2019)","plainTextFormattedCitation":"(Revelle &amp; Condon, 2019)","previouslyFormattedCitation":"(Revelle &amp; Condon, 2019)"},"properties":{"noteIndex":0},"schema":"https://github.com/citation-style-language/schema/raw/master/csl-citation.json"}</w:instrText>
      </w:r>
      <w:r w:rsidR="00FC6A66">
        <w:fldChar w:fldCharType="separate"/>
      </w:r>
      <w:r w:rsidR="00FC6A66" w:rsidRPr="00BE4C9A">
        <w:rPr>
          <w:noProof/>
        </w:rPr>
        <w:t>(Revelle &amp; Condon, 2019)</w:t>
      </w:r>
      <w:r w:rsidR="00FC6A66">
        <w:fldChar w:fldCharType="end"/>
      </w:r>
      <w:r w:rsidR="00FC6A66">
        <w:t xml:space="preserve">. </w:t>
      </w:r>
      <w:r>
        <w:t xml:space="preserve"> </w:t>
      </w:r>
      <w:r w:rsidR="003A5062">
        <w:t>Both the SHS and the IHS had identical average total common variance across countries (</w:t>
      </w:r>
      <w:r w:rsidR="00FC6A66" w:rsidRPr="001F6719">
        <w:rPr>
          <w:i/>
          <w:iCs/>
        </w:rPr>
        <w:t>ω</w:t>
      </w:r>
      <w:r w:rsidR="00FC6A66" w:rsidRPr="00F5763B">
        <w:rPr>
          <w:i/>
          <w:iCs/>
          <w:vertAlign w:val="subscript"/>
        </w:rPr>
        <w:t>t</w:t>
      </w:r>
      <w:r w:rsidR="00FC6A66" w:rsidRPr="001F6719">
        <w:rPr>
          <w:i/>
          <w:iCs/>
          <w:vertAlign w:val="subscript"/>
        </w:rPr>
        <w:t xml:space="preserve"> </w:t>
      </w:r>
      <w:r w:rsidR="008A62A2" w:rsidRPr="001F6719">
        <w:rPr>
          <w:i/>
          <w:iCs/>
          <w:vertAlign w:val="subscript"/>
        </w:rPr>
        <w:t>Mean</w:t>
      </w:r>
      <w:r w:rsidR="003A5062">
        <w:t xml:space="preserve"> = .84). For the SHS, </w:t>
      </w:r>
      <w:r w:rsidR="00711730">
        <w:t xml:space="preserve">only four countries had </w:t>
      </w:r>
      <w:r w:rsidR="00711730" w:rsidRPr="001F6719">
        <w:rPr>
          <w:i/>
          <w:iCs/>
        </w:rPr>
        <w:t>ω</w:t>
      </w:r>
      <w:r w:rsidR="00711730" w:rsidRPr="00F5763B">
        <w:rPr>
          <w:i/>
          <w:iCs/>
          <w:vertAlign w:val="subscript"/>
        </w:rPr>
        <w:t>t</w:t>
      </w:r>
      <w:r w:rsidR="00711730">
        <w:rPr>
          <w:i/>
          <w:iCs/>
          <w:vertAlign w:val="subscript"/>
        </w:rPr>
        <w:t xml:space="preserve"> </w:t>
      </w:r>
      <w:r w:rsidR="00711730">
        <w:rPr>
          <w:i/>
          <w:iCs/>
        </w:rPr>
        <w:t xml:space="preserve">&lt; .70: </w:t>
      </w:r>
      <w:r w:rsidR="00711730">
        <w:t xml:space="preserve"> </w:t>
      </w:r>
      <w:r w:rsidR="003A5062">
        <w:t>Senegal (</w:t>
      </w:r>
      <w:r w:rsidR="00FC6A66" w:rsidRPr="001F6719">
        <w:rPr>
          <w:i/>
          <w:iCs/>
        </w:rPr>
        <w:t>ω</w:t>
      </w:r>
      <w:r w:rsidR="00FC6A66" w:rsidRPr="00F5763B">
        <w:rPr>
          <w:i/>
          <w:iCs/>
          <w:vertAlign w:val="subscript"/>
        </w:rPr>
        <w:t>t</w:t>
      </w:r>
      <w:r w:rsidR="003A5062">
        <w:t xml:space="preserve"> = .59)</w:t>
      </w:r>
      <w:r w:rsidR="00711730">
        <w:t>,</w:t>
      </w:r>
      <w:r w:rsidR="003A5062">
        <w:t xml:space="preserve"> India (</w:t>
      </w:r>
      <w:r w:rsidR="00FC6A66" w:rsidRPr="001F6719">
        <w:rPr>
          <w:i/>
          <w:iCs/>
        </w:rPr>
        <w:t>ω</w:t>
      </w:r>
      <w:r w:rsidR="00FC6A66" w:rsidRPr="00F5763B">
        <w:rPr>
          <w:i/>
          <w:iCs/>
          <w:vertAlign w:val="subscript"/>
        </w:rPr>
        <w:t>t</w:t>
      </w:r>
      <w:r w:rsidR="003A5062">
        <w:t xml:space="preserve"> = .65)</w:t>
      </w:r>
      <w:r w:rsidR="00711730">
        <w:t>, Pakistan (</w:t>
      </w:r>
      <w:r w:rsidR="00711730" w:rsidRPr="001F6719">
        <w:rPr>
          <w:i/>
          <w:iCs/>
        </w:rPr>
        <w:t>ω</w:t>
      </w:r>
      <w:r w:rsidR="00711730" w:rsidRPr="00F5763B">
        <w:rPr>
          <w:i/>
          <w:iCs/>
          <w:vertAlign w:val="subscript"/>
        </w:rPr>
        <w:t>t</w:t>
      </w:r>
      <w:r w:rsidR="00711730">
        <w:t xml:space="preserve"> = .68</w:t>
      </w:r>
      <w:proofErr w:type="gramStart"/>
      <w:r w:rsidR="00711730">
        <w:t xml:space="preserve">), </w:t>
      </w:r>
      <w:r w:rsidR="003A5062">
        <w:t xml:space="preserve"> </w:t>
      </w:r>
      <w:r w:rsidR="00711730">
        <w:t>and</w:t>
      </w:r>
      <w:proofErr w:type="gramEnd"/>
      <w:r w:rsidR="00711730">
        <w:t xml:space="preserve"> Uganda (</w:t>
      </w:r>
      <w:r w:rsidR="00711730" w:rsidRPr="001F6719">
        <w:rPr>
          <w:i/>
          <w:iCs/>
        </w:rPr>
        <w:t>ω</w:t>
      </w:r>
      <w:r w:rsidR="00711730" w:rsidRPr="00F5763B">
        <w:rPr>
          <w:i/>
          <w:iCs/>
          <w:vertAlign w:val="subscript"/>
        </w:rPr>
        <w:t>t</w:t>
      </w:r>
      <w:r w:rsidR="00711730">
        <w:t xml:space="preserve"> = .69). T</w:t>
      </w:r>
      <w:r w:rsidR="003A5062">
        <w:t>he countries with the highest SHS total common variance were the United Kingdom (</w:t>
      </w:r>
      <w:r w:rsidR="00FC6A66" w:rsidRPr="001F6719">
        <w:rPr>
          <w:i/>
          <w:iCs/>
        </w:rPr>
        <w:t>ω</w:t>
      </w:r>
      <w:r w:rsidR="00FC6A66" w:rsidRPr="00F5763B">
        <w:rPr>
          <w:i/>
          <w:iCs/>
          <w:vertAlign w:val="subscript"/>
        </w:rPr>
        <w:t>t</w:t>
      </w:r>
      <w:r w:rsidR="003A5062">
        <w:t xml:space="preserve"> = .94) and Belgium (</w:t>
      </w:r>
      <w:r w:rsidR="00FC6A66" w:rsidRPr="001F6719">
        <w:rPr>
          <w:i/>
          <w:iCs/>
        </w:rPr>
        <w:t>ω</w:t>
      </w:r>
      <w:r w:rsidR="00FC6A66" w:rsidRPr="00F5763B">
        <w:rPr>
          <w:i/>
          <w:iCs/>
          <w:vertAlign w:val="subscript"/>
        </w:rPr>
        <w:t>t</w:t>
      </w:r>
      <w:r w:rsidR="003A5062">
        <w:t xml:space="preserve"> = .93). </w:t>
      </w:r>
      <w:r w:rsidR="00450708">
        <w:t>Overall</w:t>
      </w:r>
      <w:r w:rsidR="003C6A3B">
        <w:t>,</w:t>
      </w:r>
      <w:r w:rsidR="00450708">
        <w:t xml:space="preserve"> countries in Africa had the lowest total variance (</w:t>
      </w:r>
      <w:r w:rsidR="00FC6A66" w:rsidRPr="001F6719">
        <w:rPr>
          <w:i/>
          <w:iCs/>
        </w:rPr>
        <w:t>ω</w:t>
      </w:r>
      <w:r w:rsidR="00FC6A66" w:rsidRPr="00F5763B">
        <w:rPr>
          <w:i/>
          <w:iCs/>
          <w:vertAlign w:val="subscript"/>
        </w:rPr>
        <w:t>t</w:t>
      </w:r>
      <w:r w:rsidR="00FC6A66" w:rsidRPr="001F6719">
        <w:rPr>
          <w:i/>
          <w:iCs/>
          <w:vertAlign w:val="subscript"/>
        </w:rPr>
        <w:t xml:space="preserve"> </w:t>
      </w:r>
      <w:r w:rsidR="008A62A2" w:rsidRPr="001F6719">
        <w:rPr>
          <w:i/>
          <w:iCs/>
          <w:vertAlign w:val="subscript"/>
        </w:rPr>
        <w:t>Mean</w:t>
      </w:r>
      <w:r w:rsidR="00450708">
        <w:t xml:space="preserve"> = .72) while Western Europe had the highest (</w:t>
      </w:r>
      <w:r w:rsidR="00FC6A66" w:rsidRPr="001F6719">
        <w:rPr>
          <w:i/>
          <w:iCs/>
        </w:rPr>
        <w:t>ω</w:t>
      </w:r>
      <w:r w:rsidR="00FC6A66" w:rsidRPr="00F5763B">
        <w:rPr>
          <w:i/>
          <w:iCs/>
          <w:vertAlign w:val="subscript"/>
        </w:rPr>
        <w:t>t</w:t>
      </w:r>
      <w:r w:rsidR="00FC6A66" w:rsidRPr="001F6719">
        <w:rPr>
          <w:i/>
          <w:iCs/>
          <w:vertAlign w:val="subscript"/>
        </w:rPr>
        <w:t xml:space="preserve"> </w:t>
      </w:r>
      <w:r w:rsidR="008A62A2" w:rsidRPr="001F6719">
        <w:rPr>
          <w:i/>
          <w:iCs/>
          <w:vertAlign w:val="subscript"/>
        </w:rPr>
        <w:t>Mean</w:t>
      </w:r>
      <w:r w:rsidR="00450708">
        <w:t xml:space="preserve"> = .90).</w:t>
      </w:r>
      <w:r w:rsidR="004F2A09">
        <w:t xml:space="preserve"> For the IHS, </w:t>
      </w:r>
      <w:r w:rsidR="00711730">
        <w:t xml:space="preserve">none of the countries had a total common variance score </w:t>
      </w:r>
      <w:r w:rsidR="00711730" w:rsidRPr="001F6719">
        <w:rPr>
          <w:i/>
          <w:iCs/>
        </w:rPr>
        <w:t>ω</w:t>
      </w:r>
      <w:r w:rsidR="00711730" w:rsidRPr="00F5763B">
        <w:rPr>
          <w:i/>
          <w:iCs/>
          <w:vertAlign w:val="subscript"/>
        </w:rPr>
        <w:t>t</w:t>
      </w:r>
      <w:r w:rsidR="00711730">
        <w:rPr>
          <w:i/>
          <w:iCs/>
          <w:vertAlign w:val="subscript"/>
        </w:rPr>
        <w:t xml:space="preserve"> </w:t>
      </w:r>
      <w:r w:rsidR="00711730">
        <w:rPr>
          <w:i/>
          <w:iCs/>
        </w:rPr>
        <w:t xml:space="preserve">&lt; .70. </w:t>
      </w:r>
      <w:r w:rsidR="00711730">
        <w:t>T</w:t>
      </w:r>
      <w:r w:rsidR="004F2A09">
        <w:t xml:space="preserve">he countries with the lowest total </w:t>
      </w:r>
      <w:r w:rsidR="002467B3">
        <w:t>common variance were Uganda (</w:t>
      </w:r>
      <w:r w:rsidR="00FC6A66" w:rsidRPr="001F6719">
        <w:rPr>
          <w:i/>
          <w:iCs/>
        </w:rPr>
        <w:t>ω</w:t>
      </w:r>
      <w:r w:rsidR="00FC6A66" w:rsidRPr="00F5763B">
        <w:rPr>
          <w:i/>
          <w:iCs/>
          <w:vertAlign w:val="subscript"/>
        </w:rPr>
        <w:t>t</w:t>
      </w:r>
      <w:r w:rsidR="002467B3">
        <w:t xml:space="preserve"> = .74) and Indonesia (</w:t>
      </w:r>
      <w:r w:rsidR="00FC6A66" w:rsidRPr="001F6719">
        <w:rPr>
          <w:i/>
          <w:iCs/>
        </w:rPr>
        <w:t>ω</w:t>
      </w:r>
      <w:r w:rsidR="00FC6A66" w:rsidRPr="00F5763B">
        <w:rPr>
          <w:i/>
          <w:iCs/>
          <w:vertAlign w:val="subscript"/>
        </w:rPr>
        <w:t>t</w:t>
      </w:r>
      <w:r w:rsidR="002467B3">
        <w:t xml:space="preserve"> = .77) while the highest </w:t>
      </w:r>
      <w:r w:rsidR="0061121D">
        <w:t>proportion</w:t>
      </w:r>
      <w:r w:rsidR="002467B3">
        <w:t xml:space="preserve"> was in Peru (</w:t>
      </w:r>
      <w:r w:rsidR="00FC6A66" w:rsidRPr="001F6719">
        <w:rPr>
          <w:i/>
          <w:iCs/>
        </w:rPr>
        <w:t>ω</w:t>
      </w:r>
      <w:r w:rsidR="00FC6A66" w:rsidRPr="00F5763B">
        <w:rPr>
          <w:i/>
          <w:iCs/>
          <w:vertAlign w:val="subscript"/>
        </w:rPr>
        <w:t>t</w:t>
      </w:r>
      <w:r w:rsidR="002467B3">
        <w:t xml:space="preserve"> = .90). </w:t>
      </w:r>
      <w:r w:rsidR="0061121D">
        <w:t>Similar to the SHS, the lowest total common variance for the IHS was found in African countries (</w:t>
      </w:r>
      <w:r w:rsidR="00FC6A66" w:rsidRPr="001F6719">
        <w:rPr>
          <w:i/>
          <w:iCs/>
        </w:rPr>
        <w:t>ω</w:t>
      </w:r>
      <w:r w:rsidR="00FC6A66" w:rsidRPr="00F5763B">
        <w:rPr>
          <w:i/>
          <w:iCs/>
          <w:vertAlign w:val="subscript"/>
        </w:rPr>
        <w:t>t</w:t>
      </w:r>
      <w:r w:rsidR="00FC6A66" w:rsidRPr="001F6719">
        <w:rPr>
          <w:i/>
          <w:iCs/>
          <w:vertAlign w:val="subscript"/>
        </w:rPr>
        <w:t xml:space="preserve"> </w:t>
      </w:r>
      <w:r w:rsidR="008A62A2" w:rsidRPr="001F6719">
        <w:rPr>
          <w:i/>
          <w:iCs/>
          <w:vertAlign w:val="subscript"/>
        </w:rPr>
        <w:t>Mean</w:t>
      </w:r>
      <w:r w:rsidR="0061121D">
        <w:t xml:space="preserve"> = .81) but the highest proportions were in East Asian countries</w:t>
      </w:r>
      <w:r w:rsidR="0091127F">
        <w:t xml:space="preserve"> (</w:t>
      </w:r>
      <w:r w:rsidR="00FC6A66" w:rsidRPr="001F6719">
        <w:rPr>
          <w:i/>
          <w:iCs/>
        </w:rPr>
        <w:t>ω</w:t>
      </w:r>
      <w:r w:rsidR="00FC6A66" w:rsidRPr="00F5763B">
        <w:rPr>
          <w:i/>
          <w:iCs/>
          <w:vertAlign w:val="subscript"/>
        </w:rPr>
        <w:t>t</w:t>
      </w:r>
      <w:r w:rsidR="00FC6A66" w:rsidRPr="001F6719">
        <w:rPr>
          <w:i/>
          <w:iCs/>
          <w:vertAlign w:val="subscript"/>
        </w:rPr>
        <w:t xml:space="preserve"> </w:t>
      </w:r>
      <w:r w:rsidR="008A62A2" w:rsidRPr="001F6719">
        <w:rPr>
          <w:i/>
          <w:iCs/>
          <w:vertAlign w:val="subscript"/>
        </w:rPr>
        <w:t>Mean</w:t>
      </w:r>
      <w:r w:rsidR="0091127F">
        <w:t xml:space="preserve"> = .87)</w:t>
      </w:r>
      <w:r w:rsidR="0061121D">
        <w:t xml:space="preserve">. </w:t>
      </w:r>
      <w:r w:rsidR="00711730">
        <w:t xml:space="preserve">While the total reliability for both happiness measures were lowest in African countries, the average was higher for the IHS </w:t>
      </w:r>
      <w:r w:rsidR="00740467" w:rsidRPr="001F6719">
        <w:rPr>
          <w:i/>
          <w:iCs/>
        </w:rPr>
        <w:t>ω</w:t>
      </w:r>
      <w:r w:rsidR="00740467" w:rsidRPr="00F5763B">
        <w:rPr>
          <w:i/>
          <w:iCs/>
          <w:vertAlign w:val="subscript"/>
        </w:rPr>
        <w:t>t</w:t>
      </w:r>
      <w:r w:rsidR="00740467" w:rsidRPr="001F6719">
        <w:rPr>
          <w:i/>
          <w:iCs/>
          <w:vertAlign w:val="subscript"/>
        </w:rPr>
        <w:t xml:space="preserve"> </w:t>
      </w:r>
      <w:r w:rsidR="00740467">
        <w:rPr>
          <w:i/>
          <w:iCs/>
          <w:vertAlign w:val="subscript"/>
        </w:rPr>
        <w:t>(</w:t>
      </w:r>
      <w:r w:rsidR="00740467" w:rsidRPr="001F6719">
        <w:rPr>
          <w:i/>
          <w:iCs/>
          <w:vertAlign w:val="subscript"/>
        </w:rPr>
        <w:t>Mean</w:t>
      </w:r>
      <w:r w:rsidR="00740467">
        <w:t xml:space="preserve"> = .81) </w:t>
      </w:r>
      <w:r w:rsidR="00711730">
        <w:t>than the SHS</w:t>
      </w:r>
      <w:r w:rsidR="00740467">
        <w:t xml:space="preserve"> (</w:t>
      </w:r>
      <w:r w:rsidR="00740467" w:rsidRPr="001F6719">
        <w:rPr>
          <w:i/>
          <w:iCs/>
        </w:rPr>
        <w:t>ω</w:t>
      </w:r>
      <w:r w:rsidR="00740467" w:rsidRPr="00F5763B">
        <w:rPr>
          <w:i/>
          <w:iCs/>
          <w:vertAlign w:val="subscript"/>
        </w:rPr>
        <w:t>t</w:t>
      </w:r>
      <w:r w:rsidR="00740467" w:rsidRPr="001F6719">
        <w:rPr>
          <w:i/>
          <w:iCs/>
          <w:vertAlign w:val="subscript"/>
        </w:rPr>
        <w:t xml:space="preserve"> Mean</w:t>
      </w:r>
      <w:r w:rsidR="00740467">
        <w:t xml:space="preserve"> = .72)</w:t>
      </w:r>
      <w:r w:rsidR="00711730">
        <w:t xml:space="preserve">. </w:t>
      </w:r>
    </w:p>
    <w:p w14:paraId="5F96E652" w14:textId="77777777" w:rsidR="00F5763B" w:rsidRPr="00DE1B22" w:rsidRDefault="00F5763B" w:rsidP="00F5763B">
      <w:pPr>
        <w:spacing w:after="0"/>
        <w:ind w:left="720"/>
        <w:jc w:val="left"/>
        <w:rPr>
          <w:b/>
          <w:bCs/>
        </w:rPr>
      </w:pPr>
      <w:r w:rsidRPr="00DE1B22">
        <w:rPr>
          <w:b/>
          <w:bCs/>
        </w:rPr>
        <w:t>General Factor Saturation</w:t>
      </w:r>
      <w:r>
        <w:rPr>
          <w:b/>
          <w:bCs/>
        </w:rPr>
        <w:t xml:space="preserve"> (</w:t>
      </w:r>
      <w:r w:rsidRPr="001F6719">
        <w:rPr>
          <w:b/>
          <w:bCs/>
          <w:i/>
          <w:iCs/>
        </w:rPr>
        <w:t>ω</w:t>
      </w:r>
      <w:r w:rsidRPr="001F6719">
        <w:rPr>
          <w:b/>
          <w:bCs/>
          <w:i/>
          <w:iCs/>
          <w:vertAlign w:val="subscript"/>
        </w:rPr>
        <w:t>h</w:t>
      </w:r>
      <w:r>
        <w:rPr>
          <w:b/>
          <w:bCs/>
        </w:rPr>
        <w:t>).</w:t>
      </w:r>
    </w:p>
    <w:p w14:paraId="30A1D462" w14:textId="2CE01D3D" w:rsidR="00F5763B" w:rsidRPr="000E24FF" w:rsidRDefault="00F5763B" w:rsidP="00F5763B">
      <w:pPr>
        <w:spacing w:after="0"/>
        <w:ind w:firstLine="720"/>
        <w:jc w:val="left"/>
      </w:pPr>
      <w:r>
        <w:t>Next</w:t>
      </w:r>
      <w:r w:rsidR="00D71243">
        <w:t>,</w:t>
      </w:r>
      <w:r>
        <w:t xml:space="preserve"> we</w:t>
      </w:r>
      <w:r w:rsidRPr="00B96946">
        <w:t xml:space="preserve"> estimated the</w:t>
      </w:r>
      <w:r>
        <w:t xml:space="preserve"> proportion of the variance in the observed happiness scores that can be attributed to the general latent factor. The general factor saturation of the test was calculated using McDonald’s (1999) omega </w:t>
      </w:r>
      <w:r w:rsidRPr="000347D2">
        <w:t>hierarchical (</w:t>
      </w:r>
      <w:r w:rsidRPr="001F6719">
        <w:rPr>
          <w:i/>
          <w:iCs/>
        </w:rPr>
        <w:t>ω</w:t>
      </w:r>
      <w:r w:rsidRPr="001F6719">
        <w:rPr>
          <w:i/>
          <w:iCs/>
          <w:vertAlign w:val="subscript"/>
        </w:rPr>
        <w:t>h</w:t>
      </w:r>
      <w:r w:rsidRPr="000347D2">
        <w:t xml:space="preserve">) </w:t>
      </w:r>
      <w:r>
        <w:t xml:space="preserve">coefficient. </w:t>
      </w:r>
      <w:r w:rsidR="00D71243">
        <w:t xml:space="preserve">Omega hierarchical is a useful test for assessing the homogeneity of a measure. A low score would indicate that </w:t>
      </w:r>
      <w:r w:rsidR="001D4E17">
        <w:t xml:space="preserve">the observed scores are not accurate predictors of the latent score and the variability in the items may </w:t>
      </w:r>
      <w:r w:rsidR="001D4E17">
        <w:lastRenderedPageBreak/>
        <w:t>be due to other factors</w:t>
      </w:r>
      <w:r w:rsidR="00960268">
        <w:t xml:space="preserve"> </w:t>
      </w:r>
      <w:r w:rsidR="00960268">
        <w:fldChar w:fldCharType="begin" w:fldLock="1"/>
      </w:r>
      <w:r w:rsidR="00960268">
        <w:instrText>ADDIN CSL_CITATION {"citationItems":[{"id":"ITEM-1","itemData":{"DOI":"10.1037/pas0000754","ISSN":"1939134X","abstract":"Reliability is a fundamental problem for measurement in all of science. Although defined in multiple ways, and estimated in even more ways, the basic concepts seem straightforward and need to be understood by practitioners as well as methodologists. Reliability theory is not just for the psychometrician estimating latent variables, it is for everyone who wants to make inferences from measures of individuals or of groups. For the case of a single test administration, we consider multiple measures of reliability, ranging from the worst (β) to average (α, λ3) to best (λ4) split half reliabilities, and consider why model-based estimates (ωh, ωt) should be reported. We also address the utility of test-retest and alternate form reliabilities. The advantages of immediate versus delayed retests to decompose observed score variance into specific, state, and trait scores are discussed. But reliability is not just for test scores, it is also important when evaluating the use of ratings. Estimates that may be applied to continuous data include a set of intraclass correlations while discrete categorical data needs to take advantage of the family of κ statistics. Examples of these various reliability estimates are given using state and trait measures of anxiety given with different delays and under different conditions. An online supplemental materials is provided with more detail and elaboration. The online supplemental materials is also used to demonstrate applications of open source software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Assessment","id":"ITEM-1","issue":"12","issued":{"date-parts":[["2019"]]},"page":"1395-1411","title":"Reliability from α to ω: A tutorial","type":"article-journal","volume":"31"},"uris":["http://www.mendeley.com/documents/?uuid=5d742a7a-daa4-4bfc-99f5-16aee31e128a"]}],"mendeley":{"formattedCitation":"(Revelle &amp; Condon, 2019)","plainTextFormattedCitation":"(Revelle &amp; Condon, 2019)","previouslyFormattedCitation":"(Revelle &amp; Condon, 2019)"},"properties":{"noteIndex":0},"schema":"https://github.com/citation-style-language/schema/raw/master/csl-citation.json"}</w:instrText>
      </w:r>
      <w:r w:rsidR="00960268">
        <w:fldChar w:fldCharType="separate"/>
      </w:r>
      <w:r w:rsidR="00960268" w:rsidRPr="00BE4C9A">
        <w:rPr>
          <w:noProof/>
        </w:rPr>
        <w:t>(Revelle &amp; Condon, 2019)</w:t>
      </w:r>
      <w:r w:rsidR="00960268">
        <w:fldChar w:fldCharType="end"/>
      </w:r>
      <w:r w:rsidR="001D4E17">
        <w:t>.</w:t>
      </w:r>
      <w:r w:rsidR="00D71243">
        <w:t xml:space="preserve"> </w:t>
      </w:r>
      <w:r w:rsidR="002965E3">
        <w:t xml:space="preserve">Omega hierarchical is useful because, unlike omega total, the reliability estimates are not a function of test length. </w:t>
      </w:r>
      <w:r w:rsidR="00F52086">
        <w:t xml:space="preserve">This is particularly important when comparing the reliability of two measures with unequal numbers of items, as is the case for the two measures of happiness. </w:t>
      </w:r>
      <w:r>
        <w:t>Both the SHS (</w:t>
      </w:r>
      <w:r w:rsidRPr="001F6719">
        <w:rPr>
          <w:i/>
          <w:iCs/>
        </w:rPr>
        <w:t>ω</w:t>
      </w:r>
      <w:r w:rsidRPr="001F6719">
        <w:rPr>
          <w:i/>
          <w:iCs/>
          <w:vertAlign w:val="subscript"/>
        </w:rPr>
        <w:t>hMean</w:t>
      </w:r>
      <w:r>
        <w:t xml:space="preserve"> = .59) and IHS (</w:t>
      </w:r>
      <w:r w:rsidRPr="001F6719">
        <w:rPr>
          <w:i/>
          <w:iCs/>
        </w:rPr>
        <w:t>ω</w:t>
      </w:r>
      <w:r w:rsidRPr="001F6719">
        <w:rPr>
          <w:i/>
          <w:iCs/>
          <w:vertAlign w:val="subscript"/>
        </w:rPr>
        <w:t>hMean</w:t>
      </w:r>
      <w:r>
        <w:t xml:space="preserve"> = .60) average coefficients were very similar, however the SHS (</w:t>
      </w:r>
      <w:r w:rsidRPr="001F6719">
        <w:rPr>
          <w:i/>
          <w:iCs/>
        </w:rPr>
        <w:t>ω</w:t>
      </w:r>
      <w:r w:rsidRPr="001F6719">
        <w:rPr>
          <w:i/>
          <w:iCs/>
          <w:vertAlign w:val="subscript"/>
        </w:rPr>
        <w:t>hSD</w:t>
      </w:r>
      <w:r>
        <w:rPr>
          <w:vertAlign w:val="subscript"/>
        </w:rPr>
        <w:t xml:space="preserve"> </w:t>
      </w:r>
      <w:r>
        <w:t>= .34) varied considerably more than the IHS (</w:t>
      </w:r>
      <w:r w:rsidRPr="001F6719">
        <w:rPr>
          <w:i/>
          <w:iCs/>
        </w:rPr>
        <w:t>ω</w:t>
      </w:r>
      <w:r w:rsidRPr="001F6719">
        <w:rPr>
          <w:i/>
          <w:iCs/>
          <w:vertAlign w:val="subscript"/>
        </w:rPr>
        <w:t>hSD</w:t>
      </w:r>
      <w:r>
        <w:rPr>
          <w:vertAlign w:val="subscript"/>
        </w:rPr>
        <w:t xml:space="preserve"> </w:t>
      </w:r>
      <w:r>
        <w:t>= .08). The countries with the lowest SHS general factor saturation coefficients were Bolivia (</w:t>
      </w:r>
      <w:r w:rsidRPr="001F6719">
        <w:rPr>
          <w:i/>
          <w:iCs/>
        </w:rPr>
        <w:t>ω</w:t>
      </w:r>
      <w:r w:rsidRPr="001F6719">
        <w:rPr>
          <w:i/>
          <w:iCs/>
          <w:vertAlign w:val="subscript"/>
        </w:rPr>
        <w:t>h</w:t>
      </w:r>
      <w:r>
        <w:rPr>
          <w:vertAlign w:val="subscript"/>
        </w:rPr>
        <w:t xml:space="preserve"> </w:t>
      </w:r>
      <w:r>
        <w:t>= .002) and Estonia (</w:t>
      </w:r>
      <w:r w:rsidRPr="001F6719">
        <w:rPr>
          <w:i/>
          <w:iCs/>
        </w:rPr>
        <w:t>ω</w:t>
      </w:r>
      <w:r w:rsidRPr="001F6719">
        <w:rPr>
          <w:i/>
          <w:iCs/>
          <w:vertAlign w:val="subscript"/>
        </w:rPr>
        <w:t>h</w:t>
      </w:r>
      <w:r>
        <w:rPr>
          <w:vertAlign w:val="subscript"/>
        </w:rPr>
        <w:t xml:space="preserve"> </w:t>
      </w:r>
      <w:r>
        <w:t>= .003) while the countries with the highest SHS general factor saturation were Belgium (</w:t>
      </w:r>
      <w:r w:rsidRPr="001F6719">
        <w:rPr>
          <w:i/>
          <w:iCs/>
        </w:rPr>
        <w:t>ω</w:t>
      </w:r>
      <w:r w:rsidRPr="001F6719">
        <w:rPr>
          <w:i/>
          <w:iCs/>
          <w:vertAlign w:val="subscript"/>
        </w:rPr>
        <w:t>h</w:t>
      </w:r>
      <w:r>
        <w:rPr>
          <w:vertAlign w:val="subscript"/>
        </w:rPr>
        <w:t xml:space="preserve"> </w:t>
      </w:r>
      <w:r>
        <w:t>= .91) and Sweden (</w:t>
      </w:r>
      <w:r w:rsidRPr="001F6719">
        <w:rPr>
          <w:i/>
          <w:iCs/>
        </w:rPr>
        <w:t>ω</w:t>
      </w:r>
      <w:r w:rsidRPr="001F6719">
        <w:rPr>
          <w:i/>
          <w:iCs/>
          <w:vertAlign w:val="subscript"/>
        </w:rPr>
        <w:t>h</w:t>
      </w:r>
      <w:r>
        <w:rPr>
          <w:vertAlign w:val="subscript"/>
        </w:rPr>
        <w:t xml:space="preserve"> </w:t>
      </w:r>
      <w:r>
        <w:t>= .89). The region with the highest average SHS general factor saturation was Western Europe (</w:t>
      </w:r>
      <w:r w:rsidRPr="001F6719">
        <w:rPr>
          <w:i/>
          <w:iCs/>
        </w:rPr>
        <w:t>ω</w:t>
      </w:r>
      <w:r w:rsidRPr="001F6719">
        <w:rPr>
          <w:i/>
          <w:iCs/>
          <w:vertAlign w:val="subscript"/>
        </w:rPr>
        <w:t>hMean</w:t>
      </w:r>
      <w:r>
        <w:t xml:space="preserve"> = .85) while the lowest scores were found in South Asian countries (</w:t>
      </w:r>
      <w:r w:rsidRPr="001F6719">
        <w:rPr>
          <w:i/>
          <w:iCs/>
        </w:rPr>
        <w:t>ω</w:t>
      </w:r>
      <w:r w:rsidRPr="001F6719">
        <w:rPr>
          <w:i/>
          <w:iCs/>
          <w:vertAlign w:val="subscript"/>
        </w:rPr>
        <w:t>hMean</w:t>
      </w:r>
      <w:r>
        <w:rPr>
          <w:vertAlign w:val="subscript"/>
        </w:rPr>
        <w:t xml:space="preserve"> </w:t>
      </w:r>
      <w:r>
        <w:t>= .29). For the IHS, the countries with the lowest general factor saturation were Portugal (</w:t>
      </w:r>
      <w:r w:rsidRPr="001F6719">
        <w:rPr>
          <w:i/>
          <w:iCs/>
        </w:rPr>
        <w:t>ω</w:t>
      </w:r>
      <w:r w:rsidRPr="001F6719">
        <w:rPr>
          <w:i/>
          <w:iCs/>
          <w:vertAlign w:val="subscript"/>
        </w:rPr>
        <w:t>h</w:t>
      </w:r>
      <w:r>
        <w:rPr>
          <w:vertAlign w:val="subscript"/>
        </w:rPr>
        <w:t xml:space="preserve"> </w:t>
      </w:r>
      <w:r>
        <w:t>= .32) and Uganda (</w:t>
      </w:r>
      <w:r w:rsidRPr="001F6719">
        <w:rPr>
          <w:i/>
          <w:iCs/>
        </w:rPr>
        <w:t>ω</w:t>
      </w:r>
      <w:r w:rsidRPr="001F6719">
        <w:rPr>
          <w:i/>
          <w:iCs/>
          <w:vertAlign w:val="subscript"/>
        </w:rPr>
        <w:t>h</w:t>
      </w:r>
      <w:r>
        <w:rPr>
          <w:vertAlign w:val="subscript"/>
        </w:rPr>
        <w:t xml:space="preserve"> </w:t>
      </w:r>
      <w:r>
        <w:t>= 41) while the highest countries were Thailand (</w:t>
      </w:r>
      <w:r w:rsidRPr="001F6719">
        <w:rPr>
          <w:i/>
          <w:iCs/>
        </w:rPr>
        <w:t>ω</w:t>
      </w:r>
      <w:r w:rsidRPr="001F6719">
        <w:rPr>
          <w:i/>
          <w:iCs/>
          <w:vertAlign w:val="subscript"/>
        </w:rPr>
        <w:t>h</w:t>
      </w:r>
      <w:r>
        <w:rPr>
          <w:vertAlign w:val="subscript"/>
        </w:rPr>
        <w:t xml:space="preserve"> </w:t>
      </w:r>
      <w:r>
        <w:t>= .81) and Taiwan (</w:t>
      </w:r>
      <w:r w:rsidRPr="001F6719">
        <w:rPr>
          <w:i/>
          <w:iCs/>
        </w:rPr>
        <w:t>ω</w:t>
      </w:r>
      <w:r w:rsidRPr="001F6719">
        <w:rPr>
          <w:i/>
          <w:iCs/>
          <w:vertAlign w:val="subscript"/>
        </w:rPr>
        <w:t>h</w:t>
      </w:r>
      <w:r>
        <w:rPr>
          <w:vertAlign w:val="subscript"/>
        </w:rPr>
        <w:t xml:space="preserve"> </w:t>
      </w:r>
      <w:r>
        <w:t>= .77). The region with the highest average IHS general factor saturation was East Asia (</w:t>
      </w:r>
      <w:r w:rsidRPr="001F6719">
        <w:rPr>
          <w:i/>
          <w:iCs/>
        </w:rPr>
        <w:t>ω</w:t>
      </w:r>
      <w:r w:rsidRPr="001F6719">
        <w:rPr>
          <w:i/>
          <w:iCs/>
          <w:vertAlign w:val="subscript"/>
        </w:rPr>
        <w:t>hMean</w:t>
      </w:r>
      <w:r>
        <w:t xml:space="preserve"> = .70) while African countries had the lowest average (</w:t>
      </w:r>
      <w:r w:rsidRPr="001F6719">
        <w:rPr>
          <w:i/>
          <w:iCs/>
        </w:rPr>
        <w:t>ω</w:t>
      </w:r>
      <w:r w:rsidRPr="001F6719">
        <w:rPr>
          <w:i/>
          <w:iCs/>
          <w:vertAlign w:val="subscript"/>
        </w:rPr>
        <w:t>hMean</w:t>
      </w:r>
      <w:r>
        <w:t xml:space="preserve"> = .51). </w:t>
      </w:r>
    </w:p>
    <w:p w14:paraId="4921999D" w14:textId="1652DF9E" w:rsidR="00135A64" w:rsidRPr="00DE1B22" w:rsidRDefault="00D2779C" w:rsidP="00C66D5C">
      <w:pPr>
        <w:spacing w:after="0"/>
        <w:ind w:left="720"/>
        <w:jc w:val="left"/>
        <w:rPr>
          <w:b/>
          <w:bCs/>
        </w:rPr>
      </w:pPr>
      <w:r>
        <w:rPr>
          <w:b/>
          <w:bCs/>
        </w:rPr>
        <w:t>Smallest</w:t>
      </w:r>
      <w:r w:rsidR="00135A64" w:rsidRPr="00DE1B22">
        <w:rPr>
          <w:b/>
          <w:bCs/>
        </w:rPr>
        <w:t xml:space="preserve"> Split Half Reliability</w:t>
      </w:r>
      <w:r>
        <w:rPr>
          <w:b/>
          <w:bCs/>
        </w:rPr>
        <w:t xml:space="preserve"> (</w:t>
      </w:r>
      <w:r w:rsidRPr="001F6719">
        <w:rPr>
          <w:b/>
          <w:bCs/>
          <w:i/>
          <w:iCs/>
        </w:rPr>
        <w:t>β</w:t>
      </w:r>
      <w:r>
        <w:rPr>
          <w:b/>
          <w:bCs/>
        </w:rPr>
        <w:t>)</w:t>
      </w:r>
      <w:r w:rsidR="00DE1B22">
        <w:rPr>
          <w:b/>
          <w:bCs/>
        </w:rPr>
        <w:t>.</w:t>
      </w:r>
    </w:p>
    <w:p w14:paraId="03FA8820" w14:textId="07C7F793" w:rsidR="004003E8" w:rsidRDefault="004003E8" w:rsidP="004F0901">
      <w:pPr>
        <w:spacing w:after="0"/>
        <w:ind w:firstLine="720"/>
        <w:jc w:val="left"/>
      </w:pPr>
      <w:r>
        <w:t xml:space="preserve">Another assessment of the homogeneity of a test is the smallest split half reliability of the test, calculated from all possible splits of the items for </w:t>
      </w:r>
      <w:r w:rsidRPr="00B02CE8">
        <w:t>each happiness measure</w:t>
      </w:r>
      <w:r w:rsidR="00FB5CCC">
        <w:t xml:space="preserve"> </w:t>
      </w:r>
      <w:r w:rsidR="00091007">
        <w:t xml:space="preserve">The smallest split half reliability is similar to an alpha or </w:t>
      </w:r>
      <w:r w:rsidR="00091007" w:rsidRPr="001F6719">
        <w:rPr>
          <w:i/>
          <w:iCs/>
        </w:rPr>
        <w:t>ω</w:t>
      </w:r>
      <w:r w:rsidR="00091007">
        <w:rPr>
          <w:i/>
          <w:iCs/>
          <w:vertAlign w:val="subscript"/>
        </w:rPr>
        <w:t>t</w:t>
      </w:r>
      <w:r w:rsidR="00091007">
        <w:rPr>
          <w:i/>
          <w:iCs/>
        </w:rPr>
        <w:t xml:space="preserve">, </w:t>
      </w:r>
      <w:r w:rsidR="00091007">
        <w:t xml:space="preserve">as it is an estimate of the total reliable variance. However, similar to </w:t>
      </w:r>
      <w:r w:rsidR="00091007" w:rsidRPr="001F6719">
        <w:rPr>
          <w:i/>
          <w:iCs/>
        </w:rPr>
        <w:t>ω</w:t>
      </w:r>
      <w:r w:rsidR="00091007" w:rsidRPr="001F6719">
        <w:rPr>
          <w:i/>
          <w:iCs/>
          <w:vertAlign w:val="subscript"/>
        </w:rPr>
        <w:t>h</w:t>
      </w:r>
      <w:r w:rsidR="00091007">
        <w:rPr>
          <w:i/>
          <w:iCs/>
        </w:rPr>
        <w:t xml:space="preserve">, </w:t>
      </w:r>
      <w:r w:rsidR="00091007">
        <w:t xml:space="preserve">it is not influenced by test length, and thus useful for comparing measures with unequal items. </w:t>
      </w:r>
      <w:r w:rsidR="004F0901">
        <w:t xml:space="preserve">For interpreting results, a </w:t>
      </w:r>
      <w:r w:rsidR="004F0901" w:rsidRPr="001F6719">
        <w:rPr>
          <w:i/>
          <w:iCs/>
        </w:rPr>
        <w:t>β</w:t>
      </w:r>
      <w:r w:rsidR="004F0901">
        <w:rPr>
          <w:i/>
          <w:iCs/>
        </w:rPr>
        <w:t xml:space="preserve"> </w:t>
      </w:r>
      <w:r w:rsidR="004F0901">
        <w:t xml:space="preserve">around .50 would indicate that about half of test reflects one general factor of happiness </w:t>
      </w:r>
      <w:r w:rsidR="004F0901">
        <w:fldChar w:fldCharType="begin" w:fldLock="1"/>
      </w:r>
      <w:r w:rsidR="004F0901">
        <w:instrText>ADDIN CSL_CITATION {"citationItems":[{"id":"ITEM-1","itemData":{"DOI":"10.1037/pas0000754","ISSN":"1939134X","abstract":"Reliability is a fundamental problem for measurement in all of science. Although defined in multiple ways, and estimated in even more ways, the basic concepts seem straightforward and need to be understood by practitioners as well as methodologists. Reliability theory is not just for the psychometrician estimating latent variables, it is for everyone who wants to make inferences from measures of individuals or of groups. For the case of a single test administration, we consider multiple measures of reliability, ranging from the worst (β) to average (α, λ3) to best (λ4) split half reliabilities, and consider why model-based estimates (ωh, ωt) should be reported. We also address the utility of test-retest and alternate form reliabilities. The advantages of immediate versus delayed retests to decompose observed score variance into specific, state, and trait scores are discussed. But reliability is not just for test scores, it is also important when evaluating the use of ratings. Estimates that may be applied to continuous data include a set of intraclass correlations while discrete categorical data needs to take advantage of the family of κ statistics. Examples of these various reliability estimates are given using state and trait measures of anxiety given with different delays and under different conditions. An online supplemental materials is provided with more detail and elaboration. The online supplemental materials is also used to demonstrate applications of open source software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Assessment","id":"ITEM-1","issue":"12","issued":{"date-parts":[["2019"]]},"page":"1395-1411","title":"Reliability from α to ω: A tutorial","type":"article-journal","volume":"31"},"uris":["http://www.mendeley.com/documents/?uuid=5d742a7a-daa4-4bfc-99f5-16aee31e128a"]}],"mendeley":{"formattedCitation":"(Revelle &amp; Condon, 2019)","plainTextFormattedCitation":"(Revelle &amp; Condon, 2019)","previouslyFormattedCitation":"(Revelle &amp; Condon, 2019)"},"properties":{"noteIndex":0},"schema":"https://github.com/citation-style-language/schema/raw/master/csl-citation.json"}</w:instrText>
      </w:r>
      <w:r w:rsidR="004F0901">
        <w:fldChar w:fldCharType="separate"/>
      </w:r>
      <w:r w:rsidR="004F0901" w:rsidRPr="00865E7D">
        <w:rPr>
          <w:noProof/>
        </w:rPr>
        <w:t>(Revelle &amp; Condon, 2019)</w:t>
      </w:r>
      <w:r w:rsidR="004F0901">
        <w:fldChar w:fldCharType="end"/>
      </w:r>
      <w:r w:rsidR="004F0901" w:rsidRPr="00B02CE8">
        <w:t xml:space="preserve">. </w:t>
      </w:r>
      <w:r w:rsidR="00B02CE8" w:rsidRPr="00B02CE8">
        <w:t>The SHS had the highest averaged smallest split half reliability (</w:t>
      </w:r>
      <w:r w:rsidR="00B02CE8" w:rsidRPr="001F6719">
        <w:rPr>
          <w:i/>
          <w:iCs/>
        </w:rPr>
        <w:t>β</w:t>
      </w:r>
      <w:r w:rsidR="008A62A2" w:rsidRPr="001F6719">
        <w:rPr>
          <w:i/>
          <w:iCs/>
          <w:vertAlign w:val="subscript"/>
        </w:rPr>
        <w:t>Mean</w:t>
      </w:r>
      <w:r w:rsidR="00B02CE8" w:rsidRPr="00B02CE8">
        <w:t xml:space="preserve"> = .77) </w:t>
      </w:r>
      <w:r w:rsidR="00B02CE8">
        <w:t>than the IHS (</w:t>
      </w:r>
      <w:r w:rsidR="00B02CE8" w:rsidRPr="001F6719">
        <w:rPr>
          <w:i/>
          <w:iCs/>
        </w:rPr>
        <w:t>β</w:t>
      </w:r>
      <w:r w:rsidR="008A62A2" w:rsidRPr="001F6719">
        <w:rPr>
          <w:i/>
          <w:iCs/>
          <w:vertAlign w:val="subscript"/>
        </w:rPr>
        <w:t>Mean</w:t>
      </w:r>
      <w:r w:rsidR="00B02CE8">
        <w:t xml:space="preserve"> = .64).</w:t>
      </w:r>
      <w:r w:rsidR="00B02CE8" w:rsidRPr="00B02CE8">
        <w:t xml:space="preserve"> The</w:t>
      </w:r>
      <w:r w:rsidR="007950D2" w:rsidRPr="00B02CE8">
        <w:t xml:space="preserve"> worst</w:t>
      </w:r>
      <w:r w:rsidR="00C66D5C">
        <w:t xml:space="preserve"> lowest</w:t>
      </w:r>
      <w:r w:rsidR="007950D2">
        <w:t xml:space="preserve"> split half reliability </w:t>
      </w:r>
      <w:r w:rsidR="00B02CE8">
        <w:t xml:space="preserve">for the SHS </w:t>
      </w:r>
      <w:r w:rsidR="007950D2">
        <w:t xml:space="preserve">was in Uganda </w:t>
      </w:r>
      <w:r w:rsidR="007950D2" w:rsidRPr="007950D2">
        <w:t>(</w:t>
      </w:r>
      <w:r w:rsidR="007950D2" w:rsidRPr="001F6719">
        <w:rPr>
          <w:i/>
          <w:iCs/>
        </w:rPr>
        <w:t>β</w:t>
      </w:r>
      <w:r w:rsidR="007950D2">
        <w:t xml:space="preserve"> = .20), followed by Indonesia </w:t>
      </w:r>
      <w:r w:rsidR="007950D2" w:rsidRPr="007950D2">
        <w:t>(</w:t>
      </w:r>
      <w:r w:rsidR="007950D2" w:rsidRPr="001F6719">
        <w:rPr>
          <w:i/>
          <w:iCs/>
        </w:rPr>
        <w:t>β</w:t>
      </w:r>
      <w:r w:rsidR="007950D2">
        <w:t xml:space="preserve"> = .34) </w:t>
      </w:r>
      <w:r w:rsidR="007950D2">
        <w:lastRenderedPageBreak/>
        <w:t xml:space="preserve">and Pakistan </w:t>
      </w:r>
      <w:r w:rsidR="007950D2" w:rsidRPr="007950D2">
        <w:t>(</w:t>
      </w:r>
      <w:r w:rsidR="007950D2" w:rsidRPr="001F6719">
        <w:rPr>
          <w:i/>
          <w:iCs/>
        </w:rPr>
        <w:t>β</w:t>
      </w:r>
      <w:r w:rsidR="007950D2">
        <w:t xml:space="preserve"> = .39). </w:t>
      </w:r>
      <w:r w:rsidR="000C1BA7">
        <w:t xml:space="preserve">The best </w:t>
      </w:r>
      <w:r w:rsidR="00C66D5C">
        <w:t xml:space="preserve">lowest </w:t>
      </w:r>
      <w:r w:rsidR="000C1BA7">
        <w:t xml:space="preserve">split half reliability scores for the SHS were in Belgium </w:t>
      </w:r>
      <w:r w:rsidR="000C1BA7" w:rsidRPr="007950D2">
        <w:t>(</w:t>
      </w:r>
      <w:r w:rsidR="000C1BA7" w:rsidRPr="001F6719">
        <w:rPr>
          <w:i/>
          <w:iCs/>
        </w:rPr>
        <w:t>β</w:t>
      </w:r>
      <w:r w:rsidR="000C1BA7">
        <w:t xml:space="preserve"> = .91) and Sweden </w:t>
      </w:r>
      <w:r w:rsidR="000C1BA7" w:rsidRPr="007950D2">
        <w:t>(</w:t>
      </w:r>
      <w:r w:rsidR="000C1BA7" w:rsidRPr="001F6719">
        <w:rPr>
          <w:i/>
          <w:iCs/>
        </w:rPr>
        <w:t>β</w:t>
      </w:r>
      <w:r w:rsidR="000C1BA7">
        <w:t xml:space="preserve"> = .89). </w:t>
      </w:r>
      <w:r w:rsidR="00C66D5C">
        <w:t xml:space="preserve">Overall, </w:t>
      </w:r>
      <w:r w:rsidR="00983D75">
        <w:t xml:space="preserve">for SHS, </w:t>
      </w:r>
      <w:r w:rsidR="00C66D5C">
        <w:t xml:space="preserve">the worst lowest </w:t>
      </w:r>
      <w:r w:rsidR="00B02CE8">
        <w:t>split half reliabilities were in African countries (</w:t>
      </w:r>
      <w:r w:rsidR="00B02CE8" w:rsidRPr="001F6719">
        <w:rPr>
          <w:i/>
          <w:iCs/>
        </w:rPr>
        <w:t>β</w:t>
      </w:r>
      <w:r w:rsidR="008A62A2" w:rsidRPr="001F6719">
        <w:rPr>
          <w:i/>
          <w:iCs/>
          <w:vertAlign w:val="subscript"/>
        </w:rPr>
        <w:t>Mean</w:t>
      </w:r>
      <w:r w:rsidR="00B02CE8">
        <w:t xml:space="preserve"> = .55)</w:t>
      </w:r>
      <w:r w:rsidR="00E22D9D">
        <w:t xml:space="preserve"> while the best lowest split half reliabilities were in Western European countries (</w:t>
      </w:r>
      <w:r w:rsidR="00E22D9D" w:rsidRPr="001F6719">
        <w:rPr>
          <w:i/>
          <w:iCs/>
        </w:rPr>
        <w:t>β</w:t>
      </w:r>
      <w:r w:rsidR="008A62A2" w:rsidRPr="001F6719">
        <w:rPr>
          <w:i/>
          <w:iCs/>
          <w:vertAlign w:val="subscript"/>
        </w:rPr>
        <w:t>Mean</w:t>
      </w:r>
      <w:r w:rsidR="00E22D9D">
        <w:t xml:space="preserve"> = .85)</w:t>
      </w:r>
      <w:r w:rsidR="002C5932">
        <w:t xml:space="preserve"> and Western </w:t>
      </w:r>
      <w:r w:rsidR="00080495">
        <w:t>English-speaking</w:t>
      </w:r>
      <w:r w:rsidR="002C5932">
        <w:t xml:space="preserve"> countries (</w:t>
      </w:r>
      <w:r w:rsidR="002C5932" w:rsidRPr="001F6719">
        <w:rPr>
          <w:i/>
          <w:iCs/>
        </w:rPr>
        <w:t>β</w:t>
      </w:r>
      <w:r w:rsidR="008A62A2" w:rsidRPr="001F6719">
        <w:rPr>
          <w:i/>
          <w:iCs/>
          <w:vertAlign w:val="subscript"/>
        </w:rPr>
        <w:t>Mean</w:t>
      </w:r>
      <w:r w:rsidR="002C5932">
        <w:t xml:space="preserve"> = 84)</w:t>
      </w:r>
      <w:r w:rsidR="00080495">
        <w:t>. For the IHS</w:t>
      </w:r>
      <w:r w:rsidR="005277DB">
        <w:t xml:space="preserve">, the worst lowest split half reliability was in </w:t>
      </w:r>
      <w:r w:rsidR="00902AA8">
        <w:t xml:space="preserve">Kenya </w:t>
      </w:r>
      <w:r w:rsidR="00902AA8" w:rsidRPr="007950D2">
        <w:t>(</w:t>
      </w:r>
      <w:r w:rsidR="00902AA8" w:rsidRPr="001F6719">
        <w:rPr>
          <w:i/>
          <w:iCs/>
        </w:rPr>
        <w:t>β</w:t>
      </w:r>
      <w:r w:rsidR="00902AA8">
        <w:t xml:space="preserve"> = .46) followed by Uganda </w:t>
      </w:r>
      <w:r w:rsidR="00902AA8" w:rsidRPr="007950D2">
        <w:t>(</w:t>
      </w:r>
      <w:r w:rsidR="00902AA8" w:rsidRPr="001F6719">
        <w:rPr>
          <w:i/>
          <w:iCs/>
        </w:rPr>
        <w:t>β</w:t>
      </w:r>
      <w:r w:rsidR="00902AA8">
        <w:t xml:space="preserve"> = .47) while the best lowest split half reliability scores were in China </w:t>
      </w:r>
      <w:r w:rsidR="00902AA8" w:rsidRPr="007950D2">
        <w:t>(</w:t>
      </w:r>
      <w:r w:rsidR="00902AA8" w:rsidRPr="001F6719">
        <w:rPr>
          <w:i/>
          <w:iCs/>
        </w:rPr>
        <w:t>β</w:t>
      </w:r>
      <w:r w:rsidR="00902AA8">
        <w:t xml:space="preserve"> = .80) and South Korea </w:t>
      </w:r>
      <w:r w:rsidR="00902AA8" w:rsidRPr="007950D2">
        <w:t>(</w:t>
      </w:r>
      <w:r w:rsidR="00902AA8" w:rsidRPr="001F6719">
        <w:rPr>
          <w:i/>
          <w:iCs/>
        </w:rPr>
        <w:t>β</w:t>
      </w:r>
      <w:r w:rsidR="00902AA8">
        <w:t xml:space="preserve"> = .79). </w:t>
      </w:r>
      <w:r w:rsidR="000179DF">
        <w:t>Similar to the SHS, the worst lowest split half reliability scores for the IHS were in African countries (</w:t>
      </w:r>
      <w:r w:rsidR="000179DF" w:rsidRPr="001F6719">
        <w:rPr>
          <w:i/>
          <w:iCs/>
        </w:rPr>
        <w:t>β</w:t>
      </w:r>
      <w:r w:rsidR="008A62A2" w:rsidRPr="001F6719">
        <w:rPr>
          <w:i/>
          <w:iCs/>
          <w:vertAlign w:val="subscript"/>
        </w:rPr>
        <w:t>Mean</w:t>
      </w:r>
      <w:r w:rsidR="000179DF">
        <w:t xml:space="preserve"> = .55) but the best lowest split half reliability scores were in East Asian countries (</w:t>
      </w:r>
      <w:r w:rsidR="000179DF" w:rsidRPr="001F6719">
        <w:rPr>
          <w:i/>
          <w:iCs/>
        </w:rPr>
        <w:t>β</w:t>
      </w:r>
      <w:r w:rsidR="008A62A2" w:rsidRPr="001F6719">
        <w:rPr>
          <w:i/>
          <w:iCs/>
          <w:vertAlign w:val="subscript"/>
        </w:rPr>
        <w:t>Mean</w:t>
      </w:r>
      <w:r w:rsidR="000179DF">
        <w:t xml:space="preserve"> = .75). </w:t>
      </w:r>
    </w:p>
    <w:tbl>
      <w:tblPr>
        <w:tblW w:w="9118" w:type="dxa"/>
        <w:tblLook w:val="04A0" w:firstRow="1" w:lastRow="0" w:firstColumn="1" w:lastColumn="0" w:noHBand="0" w:noVBand="1"/>
      </w:tblPr>
      <w:tblGrid>
        <w:gridCol w:w="2120"/>
        <w:gridCol w:w="1395"/>
        <w:gridCol w:w="1306"/>
        <w:gridCol w:w="1306"/>
        <w:gridCol w:w="1306"/>
        <w:gridCol w:w="1685"/>
      </w:tblGrid>
      <w:tr w:rsidR="007A51F1" w:rsidRPr="007A51F1" w14:paraId="62079939" w14:textId="77777777" w:rsidTr="00EF3714">
        <w:trPr>
          <w:trHeight w:val="318"/>
        </w:trPr>
        <w:tc>
          <w:tcPr>
            <w:tcW w:w="9118" w:type="dxa"/>
            <w:gridSpan w:val="6"/>
            <w:tcBorders>
              <w:top w:val="nil"/>
              <w:left w:val="nil"/>
              <w:bottom w:val="single" w:sz="4" w:space="0" w:color="auto"/>
              <w:right w:val="nil"/>
            </w:tcBorders>
            <w:shd w:val="clear" w:color="auto" w:fill="auto"/>
            <w:noWrap/>
            <w:vAlign w:val="bottom"/>
          </w:tcPr>
          <w:p w14:paraId="1B2B2A6F" w14:textId="130025DC" w:rsidR="007A51F1" w:rsidRPr="007A51F1" w:rsidRDefault="007A51F1" w:rsidP="007A51F1">
            <w:pPr>
              <w:spacing w:after="0" w:line="240" w:lineRule="auto"/>
              <w:jc w:val="left"/>
              <w:rPr>
                <w:i/>
                <w:iCs/>
                <w:color w:val="000000"/>
              </w:rPr>
            </w:pPr>
            <w:r w:rsidRPr="007A51F1">
              <w:rPr>
                <w:i/>
                <w:iCs/>
                <w:color w:val="000000"/>
              </w:rPr>
              <w:t>Table 5</w:t>
            </w:r>
          </w:p>
        </w:tc>
      </w:tr>
      <w:tr w:rsidR="007A51F1" w:rsidRPr="007A51F1" w14:paraId="38B2FFD8" w14:textId="77777777" w:rsidTr="00EF3714">
        <w:trPr>
          <w:trHeight w:val="318"/>
        </w:trPr>
        <w:tc>
          <w:tcPr>
            <w:tcW w:w="9118" w:type="dxa"/>
            <w:gridSpan w:val="6"/>
            <w:tcBorders>
              <w:top w:val="single" w:sz="4" w:space="0" w:color="auto"/>
              <w:left w:val="nil"/>
              <w:bottom w:val="single" w:sz="4" w:space="0" w:color="auto"/>
              <w:right w:val="nil"/>
            </w:tcBorders>
            <w:shd w:val="clear" w:color="auto" w:fill="auto"/>
            <w:noWrap/>
            <w:vAlign w:val="bottom"/>
          </w:tcPr>
          <w:p w14:paraId="18561010" w14:textId="7B2CAE59" w:rsidR="007A51F1" w:rsidRPr="007A51F1" w:rsidRDefault="007A51F1" w:rsidP="007A51F1">
            <w:pPr>
              <w:spacing w:after="0" w:line="240" w:lineRule="auto"/>
              <w:jc w:val="left"/>
              <w:rPr>
                <w:color w:val="000000"/>
              </w:rPr>
            </w:pPr>
            <w:r>
              <w:rPr>
                <w:color w:val="000000"/>
              </w:rPr>
              <w:t xml:space="preserve">Communality scores </w:t>
            </w:r>
            <w:r w:rsidR="00EF3714">
              <w:rPr>
                <w:color w:val="000000"/>
              </w:rPr>
              <w:t>(</w:t>
            </w:r>
            <m:oMath>
              <m:acc>
                <m:accPr>
                  <m:chr m:val="̅"/>
                  <m:ctrlPr>
                    <w:rPr>
                      <w:rFonts w:ascii="Cambria Math" w:hAnsi="Cambria Math"/>
                      <w:i/>
                      <w:iCs/>
                    </w:rPr>
                  </m:ctrlPr>
                </m:accPr>
                <m:e>
                  <m:r>
                    <w:rPr>
                      <w:rFonts w:ascii="Cambria Math" w:hAnsi="Cambria Math"/>
                    </w:rPr>
                    <m:t>h</m:t>
                  </m:r>
                </m:e>
              </m:acc>
            </m:oMath>
            <w:r w:rsidR="00EF3714" w:rsidRPr="00582CB8">
              <w:rPr>
                <w:vertAlign w:val="superscript"/>
              </w:rPr>
              <w:t>2</w:t>
            </w:r>
            <w:r w:rsidR="00EF3714" w:rsidRPr="00EF3714">
              <w:t>)</w:t>
            </w:r>
            <w:r w:rsidR="00EF3714">
              <w:rPr>
                <w:color w:val="000000"/>
              </w:rPr>
              <w:t xml:space="preserve"> </w:t>
            </w:r>
            <w:r>
              <w:rPr>
                <w:color w:val="000000"/>
              </w:rPr>
              <w:t>for the Subjective Happiness Scale (SHS)</w:t>
            </w:r>
          </w:p>
        </w:tc>
      </w:tr>
      <w:tr w:rsidR="00EF3714" w:rsidRPr="007A51F1" w14:paraId="40EB7B03" w14:textId="77777777" w:rsidTr="00EF3714">
        <w:trPr>
          <w:trHeight w:val="318"/>
        </w:trPr>
        <w:tc>
          <w:tcPr>
            <w:tcW w:w="2120" w:type="dxa"/>
            <w:tcBorders>
              <w:top w:val="single" w:sz="4" w:space="0" w:color="auto"/>
              <w:left w:val="nil"/>
              <w:bottom w:val="single" w:sz="4" w:space="0" w:color="auto"/>
              <w:right w:val="nil"/>
            </w:tcBorders>
            <w:shd w:val="clear" w:color="auto" w:fill="auto"/>
            <w:noWrap/>
            <w:vAlign w:val="bottom"/>
            <w:hideMark/>
          </w:tcPr>
          <w:p w14:paraId="26A91AFD" w14:textId="437C73DC" w:rsidR="007A51F1" w:rsidRPr="007A51F1" w:rsidRDefault="007A51F1" w:rsidP="007A51F1">
            <w:pPr>
              <w:spacing w:after="0" w:line="240" w:lineRule="auto"/>
              <w:jc w:val="left"/>
              <w:rPr>
                <w:color w:val="000000"/>
              </w:rPr>
            </w:pPr>
            <w:r>
              <w:rPr>
                <w:color w:val="000000"/>
              </w:rPr>
              <w:t>C</w:t>
            </w:r>
            <w:r w:rsidRPr="007A51F1">
              <w:rPr>
                <w:color w:val="000000"/>
              </w:rPr>
              <w:t>ountry</w:t>
            </w:r>
          </w:p>
        </w:tc>
        <w:tc>
          <w:tcPr>
            <w:tcW w:w="1395" w:type="dxa"/>
            <w:tcBorders>
              <w:top w:val="single" w:sz="4" w:space="0" w:color="auto"/>
              <w:left w:val="nil"/>
              <w:bottom w:val="single" w:sz="4" w:space="0" w:color="auto"/>
              <w:right w:val="nil"/>
            </w:tcBorders>
            <w:shd w:val="clear" w:color="auto" w:fill="auto"/>
            <w:noWrap/>
            <w:vAlign w:val="center"/>
            <w:hideMark/>
          </w:tcPr>
          <w:p w14:paraId="407D2BEF" w14:textId="442DE17B" w:rsidR="007A51F1" w:rsidRPr="007A51F1" w:rsidRDefault="00D01A9D" w:rsidP="00D01A9D">
            <w:pPr>
              <w:spacing w:after="0" w:line="240" w:lineRule="auto"/>
              <w:rPr>
                <w:color w:val="000000"/>
              </w:rPr>
            </w:pPr>
            <m:oMath>
              <m:r>
                <m:rPr>
                  <m:sty m:val="p"/>
                </m:rPr>
                <w:rPr>
                  <w:rFonts w:ascii="Cambria Math" w:hAnsi="Cambria Math"/>
                </w:rPr>
                <m:t>Item #1</m:t>
              </m:r>
              <m:r>
                <w:rPr>
                  <w:rFonts w:ascii="Cambria Math" w:hAnsi="Cambria Math"/>
                </w:rPr>
                <m:t xml:space="preserve"> </m:t>
              </m:r>
              <m:acc>
                <m:accPr>
                  <m:chr m:val="̅"/>
                  <m:ctrlPr>
                    <w:rPr>
                      <w:rFonts w:ascii="Cambria Math" w:hAnsi="Cambria Math"/>
                      <w:i/>
                      <w:iCs/>
                    </w:rPr>
                  </m:ctrlPr>
                </m:accPr>
                <m:e>
                  <m:r>
                    <w:rPr>
                      <w:rFonts w:ascii="Cambria Math" w:hAnsi="Cambria Math"/>
                    </w:rPr>
                    <m:t>h</m:t>
                  </m:r>
                </m:e>
              </m:acc>
            </m:oMath>
            <w:r w:rsidR="00EF3714" w:rsidRPr="00582CB8">
              <w:rPr>
                <w:vertAlign w:val="superscript"/>
              </w:rPr>
              <w:t>2</w:t>
            </w:r>
          </w:p>
        </w:tc>
        <w:tc>
          <w:tcPr>
            <w:tcW w:w="1306" w:type="dxa"/>
            <w:tcBorders>
              <w:top w:val="single" w:sz="4" w:space="0" w:color="auto"/>
              <w:left w:val="nil"/>
              <w:bottom w:val="single" w:sz="4" w:space="0" w:color="auto"/>
              <w:right w:val="nil"/>
            </w:tcBorders>
            <w:shd w:val="clear" w:color="auto" w:fill="auto"/>
            <w:noWrap/>
            <w:vAlign w:val="center"/>
            <w:hideMark/>
          </w:tcPr>
          <w:p w14:paraId="1D0B495E" w14:textId="603F9E00" w:rsidR="007A51F1" w:rsidRPr="007A51F1" w:rsidRDefault="00D01A9D" w:rsidP="00D01A9D">
            <w:pPr>
              <w:spacing w:after="0" w:line="240" w:lineRule="auto"/>
              <w:rPr>
                <w:color w:val="000000"/>
              </w:rPr>
            </w:pPr>
            <w:r>
              <w:rPr>
                <w:color w:val="000000"/>
              </w:rPr>
              <w:t xml:space="preserve">Item #2 </w:t>
            </w:r>
            <m:oMath>
              <m:acc>
                <m:accPr>
                  <m:chr m:val="̅"/>
                  <m:ctrlPr>
                    <w:rPr>
                      <w:rFonts w:ascii="Cambria Math" w:hAnsi="Cambria Math"/>
                      <w:i/>
                      <w:iCs/>
                    </w:rPr>
                  </m:ctrlPr>
                </m:accPr>
                <m:e>
                  <m:r>
                    <w:rPr>
                      <w:rFonts w:ascii="Cambria Math" w:hAnsi="Cambria Math"/>
                    </w:rPr>
                    <m:t>h</m:t>
                  </m:r>
                </m:e>
              </m:acc>
            </m:oMath>
            <w:r w:rsidR="00EF3714" w:rsidRPr="00582CB8">
              <w:rPr>
                <w:vertAlign w:val="superscript"/>
              </w:rPr>
              <w:t>2</w:t>
            </w:r>
          </w:p>
        </w:tc>
        <w:tc>
          <w:tcPr>
            <w:tcW w:w="1306" w:type="dxa"/>
            <w:tcBorders>
              <w:top w:val="single" w:sz="4" w:space="0" w:color="auto"/>
              <w:left w:val="nil"/>
              <w:bottom w:val="single" w:sz="4" w:space="0" w:color="auto"/>
              <w:right w:val="nil"/>
            </w:tcBorders>
            <w:shd w:val="clear" w:color="auto" w:fill="auto"/>
            <w:noWrap/>
            <w:vAlign w:val="center"/>
            <w:hideMark/>
          </w:tcPr>
          <w:p w14:paraId="550A50F2" w14:textId="3F1F9292" w:rsidR="007A51F1" w:rsidRPr="007A51F1" w:rsidRDefault="00D01A9D" w:rsidP="00D01A9D">
            <w:pPr>
              <w:spacing w:after="0" w:line="240" w:lineRule="auto"/>
              <w:rPr>
                <w:color w:val="000000"/>
              </w:rPr>
            </w:pPr>
            <w:r>
              <w:rPr>
                <w:color w:val="000000"/>
              </w:rPr>
              <w:t xml:space="preserve">Item #3 </w:t>
            </w:r>
            <m:oMath>
              <m:acc>
                <m:accPr>
                  <m:chr m:val="̅"/>
                  <m:ctrlPr>
                    <w:rPr>
                      <w:rFonts w:ascii="Cambria Math" w:hAnsi="Cambria Math"/>
                      <w:i/>
                      <w:iCs/>
                    </w:rPr>
                  </m:ctrlPr>
                </m:accPr>
                <m:e>
                  <m:r>
                    <w:rPr>
                      <w:rFonts w:ascii="Cambria Math" w:hAnsi="Cambria Math"/>
                    </w:rPr>
                    <m:t>h</m:t>
                  </m:r>
                </m:e>
              </m:acc>
            </m:oMath>
            <w:r w:rsidR="00EF3714" w:rsidRPr="00582CB8">
              <w:rPr>
                <w:vertAlign w:val="superscript"/>
              </w:rPr>
              <w:t>2</w:t>
            </w:r>
          </w:p>
        </w:tc>
        <w:tc>
          <w:tcPr>
            <w:tcW w:w="1306" w:type="dxa"/>
            <w:tcBorders>
              <w:top w:val="single" w:sz="4" w:space="0" w:color="auto"/>
              <w:left w:val="nil"/>
              <w:bottom w:val="single" w:sz="4" w:space="0" w:color="auto"/>
              <w:right w:val="nil"/>
            </w:tcBorders>
            <w:shd w:val="clear" w:color="auto" w:fill="auto"/>
            <w:noWrap/>
            <w:vAlign w:val="center"/>
            <w:hideMark/>
          </w:tcPr>
          <w:p w14:paraId="07D03DCB" w14:textId="4775733C" w:rsidR="007A51F1" w:rsidRPr="007A51F1" w:rsidRDefault="00D01A9D" w:rsidP="00D01A9D">
            <w:pPr>
              <w:spacing w:after="0" w:line="240" w:lineRule="auto"/>
              <w:rPr>
                <w:color w:val="000000"/>
              </w:rPr>
            </w:pPr>
            <w:r>
              <w:rPr>
                <w:color w:val="000000"/>
              </w:rPr>
              <w:t xml:space="preserve">Item #4 </w:t>
            </w:r>
            <m:oMath>
              <m:acc>
                <m:accPr>
                  <m:chr m:val="̅"/>
                  <m:ctrlPr>
                    <w:rPr>
                      <w:rFonts w:ascii="Cambria Math" w:hAnsi="Cambria Math"/>
                      <w:i/>
                      <w:iCs/>
                    </w:rPr>
                  </m:ctrlPr>
                </m:accPr>
                <m:e>
                  <m:r>
                    <w:rPr>
                      <w:rFonts w:ascii="Cambria Math" w:hAnsi="Cambria Math"/>
                    </w:rPr>
                    <m:t>h</m:t>
                  </m:r>
                </m:e>
              </m:acc>
            </m:oMath>
            <w:r w:rsidR="00EF3714" w:rsidRPr="00582CB8">
              <w:rPr>
                <w:vertAlign w:val="superscript"/>
              </w:rPr>
              <w:t>2</w:t>
            </w:r>
          </w:p>
        </w:tc>
        <w:tc>
          <w:tcPr>
            <w:tcW w:w="1683" w:type="dxa"/>
            <w:tcBorders>
              <w:top w:val="single" w:sz="4" w:space="0" w:color="auto"/>
              <w:left w:val="nil"/>
              <w:bottom w:val="single" w:sz="4" w:space="0" w:color="auto"/>
              <w:right w:val="nil"/>
            </w:tcBorders>
            <w:shd w:val="clear" w:color="auto" w:fill="auto"/>
            <w:noWrap/>
            <w:vAlign w:val="center"/>
            <w:hideMark/>
          </w:tcPr>
          <w:p w14:paraId="5ADF3B1C" w14:textId="3B96295F" w:rsidR="007A51F1" w:rsidRPr="007A51F1" w:rsidRDefault="00D01A9D" w:rsidP="00D01A9D">
            <w:pPr>
              <w:spacing w:after="0" w:line="240" w:lineRule="auto"/>
              <w:rPr>
                <w:color w:val="000000"/>
              </w:rPr>
            </w:pPr>
            <w:r>
              <w:rPr>
                <w:color w:val="000000"/>
              </w:rPr>
              <w:t xml:space="preserve">Average </w:t>
            </w:r>
            <m:oMath>
              <m:acc>
                <m:accPr>
                  <m:chr m:val="̅"/>
                  <m:ctrlPr>
                    <w:rPr>
                      <w:rFonts w:ascii="Cambria Math" w:hAnsi="Cambria Math"/>
                      <w:i/>
                      <w:iCs/>
                    </w:rPr>
                  </m:ctrlPr>
                </m:accPr>
                <m:e>
                  <m:r>
                    <w:rPr>
                      <w:rFonts w:ascii="Cambria Math" w:hAnsi="Cambria Math"/>
                    </w:rPr>
                    <m:t>h</m:t>
                  </m:r>
                </m:e>
              </m:acc>
            </m:oMath>
            <w:r w:rsidR="00EF3714" w:rsidRPr="00582CB8">
              <w:rPr>
                <w:vertAlign w:val="superscript"/>
              </w:rPr>
              <w:t>2</w:t>
            </w:r>
          </w:p>
        </w:tc>
      </w:tr>
      <w:tr w:rsidR="00EF3714" w:rsidRPr="007A51F1" w14:paraId="54B731A7" w14:textId="77777777" w:rsidTr="00EF3714">
        <w:trPr>
          <w:trHeight w:val="318"/>
        </w:trPr>
        <w:tc>
          <w:tcPr>
            <w:tcW w:w="2120" w:type="dxa"/>
            <w:tcBorders>
              <w:top w:val="single" w:sz="4" w:space="0" w:color="auto"/>
              <w:left w:val="nil"/>
              <w:bottom w:val="nil"/>
              <w:right w:val="nil"/>
            </w:tcBorders>
            <w:shd w:val="clear" w:color="auto" w:fill="auto"/>
            <w:noWrap/>
            <w:vAlign w:val="bottom"/>
            <w:hideMark/>
          </w:tcPr>
          <w:p w14:paraId="24DAF3C3" w14:textId="77777777" w:rsidR="007A51F1" w:rsidRPr="007A51F1" w:rsidRDefault="007A51F1" w:rsidP="007A51F1">
            <w:pPr>
              <w:spacing w:after="0" w:line="240" w:lineRule="auto"/>
              <w:jc w:val="left"/>
              <w:rPr>
                <w:color w:val="000000"/>
              </w:rPr>
            </w:pPr>
            <w:r w:rsidRPr="007A51F1">
              <w:rPr>
                <w:color w:val="000000"/>
              </w:rPr>
              <w:t>Argentina</w:t>
            </w:r>
          </w:p>
        </w:tc>
        <w:tc>
          <w:tcPr>
            <w:tcW w:w="1395" w:type="dxa"/>
            <w:tcBorders>
              <w:top w:val="single" w:sz="4" w:space="0" w:color="auto"/>
              <w:left w:val="nil"/>
              <w:bottom w:val="nil"/>
              <w:right w:val="nil"/>
            </w:tcBorders>
            <w:shd w:val="clear" w:color="auto" w:fill="auto"/>
            <w:noWrap/>
            <w:vAlign w:val="center"/>
            <w:hideMark/>
          </w:tcPr>
          <w:p w14:paraId="7EC6593A" w14:textId="77777777" w:rsidR="007A51F1" w:rsidRPr="007A51F1" w:rsidRDefault="007A51F1" w:rsidP="00D01A9D">
            <w:pPr>
              <w:spacing w:after="0" w:line="240" w:lineRule="auto"/>
              <w:rPr>
                <w:color w:val="000000"/>
              </w:rPr>
            </w:pPr>
            <w:r w:rsidRPr="007A51F1">
              <w:rPr>
                <w:color w:val="000000"/>
              </w:rPr>
              <w:t>.63</w:t>
            </w:r>
          </w:p>
        </w:tc>
        <w:tc>
          <w:tcPr>
            <w:tcW w:w="1306" w:type="dxa"/>
            <w:tcBorders>
              <w:top w:val="single" w:sz="4" w:space="0" w:color="auto"/>
              <w:left w:val="nil"/>
              <w:bottom w:val="nil"/>
              <w:right w:val="nil"/>
            </w:tcBorders>
            <w:shd w:val="clear" w:color="auto" w:fill="auto"/>
            <w:noWrap/>
            <w:vAlign w:val="center"/>
            <w:hideMark/>
          </w:tcPr>
          <w:p w14:paraId="1A59FAA9" w14:textId="77777777" w:rsidR="007A51F1" w:rsidRPr="007A51F1" w:rsidRDefault="007A51F1" w:rsidP="00D01A9D">
            <w:pPr>
              <w:spacing w:after="0" w:line="240" w:lineRule="auto"/>
              <w:rPr>
                <w:color w:val="000000"/>
              </w:rPr>
            </w:pPr>
            <w:r w:rsidRPr="007A51F1">
              <w:rPr>
                <w:color w:val="000000"/>
              </w:rPr>
              <w:t>.65</w:t>
            </w:r>
          </w:p>
        </w:tc>
        <w:tc>
          <w:tcPr>
            <w:tcW w:w="1306" w:type="dxa"/>
            <w:tcBorders>
              <w:top w:val="single" w:sz="4" w:space="0" w:color="auto"/>
              <w:left w:val="nil"/>
              <w:bottom w:val="nil"/>
              <w:right w:val="nil"/>
            </w:tcBorders>
            <w:shd w:val="clear" w:color="auto" w:fill="auto"/>
            <w:noWrap/>
            <w:vAlign w:val="center"/>
            <w:hideMark/>
          </w:tcPr>
          <w:p w14:paraId="08F1F127" w14:textId="77777777" w:rsidR="007A51F1" w:rsidRPr="007A51F1" w:rsidRDefault="007A51F1" w:rsidP="00D01A9D">
            <w:pPr>
              <w:spacing w:after="0" w:line="240" w:lineRule="auto"/>
              <w:rPr>
                <w:color w:val="000000"/>
              </w:rPr>
            </w:pPr>
            <w:r w:rsidRPr="007A51F1">
              <w:rPr>
                <w:color w:val="000000"/>
              </w:rPr>
              <w:t>.50</w:t>
            </w:r>
          </w:p>
        </w:tc>
        <w:tc>
          <w:tcPr>
            <w:tcW w:w="1306" w:type="dxa"/>
            <w:tcBorders>
              <w:top w:val="single" w:sz="4" w:space="0" w:color="auto"/>
              <w:left w:val="nil"/>
              <w:bottom w:val="nil"/>
              <w:right w:val="nil"/>
            </w:tcBorders>
            <w:shd w:val="clear" w:color="auto" w:fill="auto"/>
            <w:noWrap/>
            <w:vAlign w:val="center"/>
            <w:hideMark/>
          </w:tcPr>
          <w:p w14:paraId="44BD0AC8" w14:textId="77777777" w:rsidR="007A51F1" w:rsidRPr="007A51F1" w:rsidRDefault="007A51F1" w:rsidP="00D01A9D">
            <w:pPr>
              <w:spacing w:after="0" w:line="240" w:lineRule="auto"/>
              <w:rPr>
                <w:color w:val="000000"/>
              </w:rPr>
            </w:pPr>
            <w:r w:rsidRPr="007A51F1">
              <w:rPr>
                <w:color w:val="000000"/>
              </w:rPr>
              <w:t>.46</w:t>
            </w:r>
          </w:p>
        </w:tc>
        <w:tc>
          <w:tcPr>
            <w:tcW w:w="1683" w:type="dxa"/>
            <w:tcBorders>
              <w:top w:val="single" w:sz="4" w:space="0" w:color="auto"/>
              <w:left w:val="nil"/>
              <w:bottom w:val="nil"/>
              <w:right w:val="nil"/>
            </w:tcBorders>
            <w:shd w:val="clear" w:color="auto" w:fill="auto"/>
            <w:noWrap/>
            <w:vAlign w:val="center"/>
            <w:hideMark/>
          </w:tcPr>
          <w:p w14:paraId="23537B8A" w14:textId="77777777" w:rsidR="007A51F1" w:rsidRPr="007A51F1" w:rsidRDefault="007A51F1" w:rsidP="00D01A9D">
            <w:pPr>
              <w:spacing w:after="0" w:line="240" w:lineRule="auto"/>
              <w:rPr>
                <w:color w:val="000000"/>
              </w:rPr>
            </w:pPr>
            <w:r w:rsidRPr="007A51F1">
              <w:rPr>
                <w:color w:val="000000"/>
              </w:rPr>
              <w:t>.56</w:t>
            </w:r>
          </w:p>
        </w:tc>
      </w:tr>
      <w:tr w:rsidR="00EF3714" w:rsidRPr="007A51F1" w14:paraId="6315914A" w14:textId="77777777" w:rsidTr="00EF3714">
        <w:trPr>
          <w:trHeight w:val="318"/>
        </w:trPr>
        <w:tc>
          <w:tcPr>
            <w:tcW w:w="2120" w:type="dxa"/>
            <w:tcBorders>
              <w:top w:val="nil"/>
              <w:left w:val="nil"/>
              <w:bottom w:val="nil"/>
              <w:right w:val="nil"/>
            </w:tcBorders>
            <w:shd w:val="clear" w:color="auto" w:fill="auto"/>
            <w:noWrap/>
            <w:vAlign w:val="bottom"/>
            <w:hideMark/>
          </w:tcPr>
          <w:p w14:paraId="12F8A950" w14:textId="77777777" w:rsidR="007A51F1" w:rsidRPr="007A51F1" w:rsidRDefault="007A51F1" w:rsidP="007A51F1">
            <w:pPr>
              <w:spacing w:after="0" w:line="240" w:lineRule="auto"/>
              <w:jc w:val="left"/>
              <w:rPr>
                <w:color w:val="000000"/>
              </w:rPr>
            </w:pPr>
            <w:r w:rsidRPr="007A51F1">
              <w:rPr>
                <w:color w:val="000000"/>
              </w:rPr>
              <w:t>Australia</w:t>
            </w:r>
          </w:p>
        </w:tc>
        <w:tc>
          <w:tcPr>
            <w:tcW w:w="1395" w:type="dxa"/>
            <w:tcBorders>
              <w:top w:val="nil"/>
              <w:left w:val="nil"/>
              <w:bottom w:val="nil"/>
              <w:right w:val="nil"/>
            </w:tcBorders>
            <w:shd w:val="clear" w:color="auto" w:fill="auto"/>
            <w:noWrap/>
            <w:vAlign w:val="center"/>
            <w:hideMark/>
          </w:tcPr>
          <w:p w14:paraId="68842D23" w14:textId="77777777" w:rsidR="007A51F1" w:rsidRPr="007A51F1" w:rsidRDefault="007A51F1" w:rsidP="00D01A9D">
            <w:pPr>
              <w:spacing w:after="0" w:line="240" w:lineRule="auto"/>
              <w:rPr>
                <w:color w:val="000000"/>
              </w:rPr>
            </w:pPr>
            <w:r w:rsidRPr="007A51F1">
              <w:rPr>
                <w:color w:val="000000"/>
              </w:rPr>
              <w:t>.84</w:t>
            </w:r>
          </w:p>
        </w:tc>
        <w:tc>
          <w:tcPr>
            <w:tcW w:w="1306" w:type="dxa"/>
            <w:tcBorders>
              <w:top w:val="nil"/>
              <w:left w:val="nil"/>
              <w:bottom w:val="nil"/>
              <w:right w:val="nil"/>
            </w:tcBorders>
            <w:shd w:val="clear" w:color="auto" w:fill="auto"/>
            <w:noWrap/>
            <w:vAlign w:val="center"/>
            <w:hideMark/>
          </w:tcPr>
          <w:p w14:paraId="31C49811"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5E0AA3C8" w14:textId="77777777" w:rsidR="007A51F1" w:rsidRPr="007A51F1" w:rsidRDefault="007A51F1" w:rsidP="00D01A9D">
            <w:pPr>
              <w:spacing w:after="0" w:line="240" w:lineRule="auto"/>
              <w:rPr>
                <w:color w:val="000000"/>
              </w:rPr>
            </w:pPr>
            <w:r w:rsidRPr="007A51F1">
              <w:rPr>
                <w:color w:val="000000"/>
              </w:rPr>
              <w:t>.73</w:t>
            </w:r>
          </w:p>
        </w:tc>
        <w:tc>
          <w:tcPr>
            <w:tcW w:w="1306" w:type="dxa"/>
            <w:tcBorders>
              <w:top w:val="nil"/>
              <w:left w:val="nil"/>
              <w:bottom w:val="nil"/>
              <w:right w:val="nil"/>
            </w:tcBorders>
            <w:shd w:val="clear" w:color="auto" w:fill="auto"/>
            <w:noWrap/>
            <w:vAlign w:val="center"/>
            <w:hideMark/>
          </w:tcPr>
          <w:p w14:paraId="593A272A" w14:textId="77777777" w:rsidR="007A51F1" w:rsidRPr="007A51F1" w:rsidRDefault="007A51F1" w:rsidP="00D01A9D">
            <w:pPr>
              <w:spacing w:after="0" w:line="240" w:lineRule="auto"/>
              <w:rPr>
                <w:color w:val="000000"/>
              </w:rPr>
            </w:pPr>
            <w:r w:rsidRPr="007A51F1">
              <w:rPr>
                <w:color w:val="000000"/>
              </w:rPr>
              <w:t>.40</w:t>
            </w:r>
          </w:p>
        </w:tc>
        <w:tc>
          <w:tcPr>
            <w:tcW w:w="1683" w:type="dxa"/>
            <w:tcBorders>
              <w:top w:val="nil"/>
              <w:left w:val="nil"/>
              <w:bottom w:val="nil"/>
              <w:right w:val="nil"/>
            </w:tcBorders>
            <w:shd w:val="clear" w:color="auto" w:fill="auto"/>
            <w:noWrap/>
            <w:vAlign w:val="center"/>
            <w:hideMark/>
          </w:tcPr>
          <w:p w14:paraId="26FD6B99" w14:textId="77777777" w:rsidR="007A51F1" w:rsidRPr="007A51F1" w:rsidRDefault="007A51F1" w:rsidP="00D01A9D">
            <w:pPr>
              <w:spacing w:after="0" w:line="240" w:lineRule="auto"/>
              <w:rPr>
                <w:color w:val="000000"/>
              </w:rPr>
            </w:pPr>
            <w:r w:rsidRPr="007A51F1">
              <w:rPr>
                <w:color w:val="000000"/>
              </w:rPr>
              <w:t>.68</w:t>
            </w:r>
          </w:p>
        </w:tc>
      </w:tr>
      <w:tr w:rsidR="00EF3714" w:rsidRPr="007A51F1" w14:paraId="7BCDABF2" w14:textId="77777777" w:rsidTr="00EF3714">
        <w:trPr>
          <w:trHeight w:val="318"/>
        </w:trPr>
        <w:tc>
          <w:tcPr>
            <w:tcW w:w="2120" w:type="dxa"/>
            <w:tcBorders>
              <w:top w:val="nil"/>
              <w:left w:val="nil"/>
              <w:bottom w:val="nil"/>
              <w:right w:val="nil"/>
            </w:tcBorders>
            <w:shd w:val="clear" w:color="auto" w:fill="auto"/>
            <w:noWrap/>
            <w:vAlign w:val="bottom"/>
            <w:hideMark/>
          </w:tcPr>
          <w:p w14:paraId="4D73B360" w14:textId="77777777" w:rsidR="007A51F1" w:rsidRPr="007A51F1" w:rsidRDefault="007A51F1" w:rsidP="007A51F1">
            <w:pPr>
              <w:spacing w:after="0" w:line="240" w:lineRule="auto"/>
              <w:jc w:val="left"/>
              <w:rPr>
                <w:color w:val="000000"/>
              </w:rPr>
            </w:pPr>
            <w:r w:rsidRPr="007A51F1">
              <w:rPr>
                <w:color w:val="000000"/>
              </w:rPr>
              <w:t>Austria</w:t>
            </w:r>
          </w:p>
        </w:tc>
        <w:tc>
          <w:tcPr>
            <w:tcW w:w="1395" w:type="dxa"/>
            <w:tcBorders>
              <w:top w:val="nil"/>
              <w:left w:val="nil"/>
              <w:bottom w:val="nil"/>
              <w:right w:val="nil"/>
            </w:tcBorders>
            <w:shd w:val="clear" w:color="auto" w:fill="auto"/>
            <w:noWrap/>
            <w:vAlign w:val="center"/>
            <w:hideMark/>
          </w:tcPr>
          <w:p w14:paraId="6AB54E80" w14:textId="77777777" w:rsidR="007A51F1" w:rsidRPr="007A51F1" w:rsidRDefault="007A51F1" w:rsidP="00D01A9D">
            <w:pPr>
              <w:spacing w:after="0" w:line="240" w:lineRule="auto"/>
              <w:rPr>
                <w:color w:val="000000"/>
              </w:rPr>
            </w:pPr>
            <w:r w:rsidRPr="007A51F1">
              <w:rPr>
                <w:color w:val="000000"/>
              </w:rPr>
              <w:t>.46</w:t>
            </w:r>
          </w:p>
        </w:tc>
        <w:tc>
          <w:tcPr>
            <w:tcW w:w="1306" w:type="dxa"/>
            <w:tcBorders>
              <w:top w:val="nil"/>
              <w:left w:val="nil"/>
              <w:bottom w:val="nil"/>
              <w:right w:val="nil"/>
            </w:tcBorders>
            <w:shd w:val="clear" w:color="auto" w:fill="auto"/>
            <w:noWrap/>
            <w:vAlign w:val="center"/>
            <w:hideMark/>
          </w:tcPr>
          <w:p w14:paraId="48918287"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nil"/>
              <w:right w:val="nil"/>
            </w:tcBorders>
            <w:shd w:val="clear" w:color="auto" w:fill="auto"/>
            <w:noWrap/>
            <w:vAlign w:val="center"/>
            <w:hideMark/>
          </w:tcPr>
          <w:p w14:paraId="114962D1" w14:textId="77777777" w:rsidR="007A51F1" w:rsidRPr="007A51F1" w:rsidRDefault="007A51F1" w:rsidP="00D01A9D">
            <w:pPr>
              <w:spacing w:after="0" w:line="240" w:lineRule="auto"/>
              <w:rPr>
                <w:color w:val="000000"/>
              </w:rPr>
            </w:pPr>
            <w:r w:rsidRPr="007A51F1">
              <w:rPr>
                <w:color w:val="000000"/>
              </w:rPr>
              <w:t>.63</w:t>
            </w:r>
          </w:p>
        </w:tc>
        <w:tc>
          <w:tcPr>
            <w:tcW w:w="1306" w:type="dxa"/>
            <w:tcBorders>
              <w:top w:val="nil"/>
              <w:left w:val="nil"/>
              <w:bottom w:val="nil"/>
              <w:right w:val="nil"/>
            </w:tcBorders>
            <w:shd w:val="clear" w:color="auto" w:fill="auto"/>
            <w:noWrap/>
            <w:vAlign w:val="center"/>
            <w:hideMark/>
          </w:tcPr>
          <w:p w14:paraId="4760A35F" w14:textId="77777777" w:rsidR="007A51F1" w:rsidRPr="007A51F1" w:rsidRDefault="007A51F1" w:rsidP="00D01A9D">
            <w:pPr>
              <w:spacing w:after="0" w:line="240" w:lineRule="auto"/>
              <w:rPr>
                <w:color w:val="000000"/>
              </w:rPr>
            </w:pPr>
            <w:r w:rsidRPr="007A51F1">
              <w:rPr>
                <w:color w:val="000000"/>
              </w:rPr>
              <w:t>.64</w:t>
            </w:r>
          </w:p>
        </w:tc>
        <w:tc>
          <w:tcPr>
            <w:tcW w:w="1683" w:type="dxa"/>
            <w:tcBorders>
              <w:top w:val="nil"/>
              <w:left w:val="nil"/>
              <w:bottom w:val="nil"/>
              <w:right w:val="nil"/>
            </w:tcBorders>
            <w:shd w:val="clear" w:color="auto" w:fill="auto"/>
            <w:noWrap/>
            <w:vAlign w:val="center"/>
            <w:hideMark/>
          </w:tcPr>
          <w:p w14:paraId="61685D3C" w14:textId="77777777" w:rsidR="007A51F1" w:rsidRPr="007A51F1" w:rsidRDefault="007A51F1" w:rsidP="00D01A9D">
            <w:pPr>
              <w:spacing w:after="0" w:line="240" w:lineRule="auto"/>
              <w:rPr>
                <w:color w:val="000000"/>
              </w:rPr>
            </w:pPr>
            <w:r w:rsidRPr="007A51F1">
              <w:rPr>
                <w:color w:val="000000"/>
              </w:rPr>
              <w:t>.63</w:t>
            </w:r>
          </w:p>
        </w:tc>
      </w:tr>
      <w:tr w:rsidR="00EF3714" w:rsidRPr="007A51F1" w14:paraId="718BA9D0" w14:textId="77777777" w:rsidTr="00EF3714">
        <w:trPr>
          <w:trHeight w:val="318"/>
        </w:trPr>
        <w:tc>
          <w:tcPr>
            <w:tcW w:w="2120" w:type="dxa"/>
            <w:tcBorders>
              <w:top w:val="nil"/>
              <w:left w:val="nil"/>
              <w:bottom w:val="nil"/>
              <w:right w:val="nil"/>
            </w:tcBorders>
            <w:shd w:val="clear" w:color="auto" w:fill="auto"/>
            <w:noWrap/>
            <w:vAlign w:val="bottom"/>
            <w:hideMark/>
          </w:tcPr>
          <w:p w14:paraId="1C4A6B5C" w14:textId="77777777" w:rsidR="007A51F1" w:rsidRPr="007A51F1" w:rsidRDefault="007A51F1" w:rsidP="007A51F1">
            <w:pPr>
              <w:spacing w:after="0" w:line="240" w:lineRule="auto"/>
              <w:jc w:val="left"/>
              <w:rPr>
                <w:color w:val="000000"/>
              </w:rPr>
            </w:pPr>
            <w:r w:rsidRPr="007A51F1">
              <w:rPr>
                <w:color w:val="000000"/>
              </w:rPr>
              <w:t>Belgium</w:t>
            </w:r>
          </w:p>
        </w:tc>
        <w:tc>
          <w:tcPr>
            <w:tcW w:w="1395" w:type="dxa"/>
            <w:tcBorders>
              <w:top w:val="nil"/>
              <w:left w:val="nil"/>
              <w:bottom w:val="nil"/>
              <w:right w:val="nil"/>
            </w:tcBorders>
            <w:shd w:val="clear" w:color="auto" w:fill="auto"/>
            <w:noWrap/>
            <w:vAlign w:val="center"/>
            <w:hideMark/>
          </w:tcPr>
          <w:p w14:paraId="6E05796B" w14:textId="77777777" w:rsidR="007A51F1" w:rsidRPr="007A51F1" w:rsidRDefault="007A51F1" w:rsidP="00D01A9D">
            <w:pPr>
              <w:spacing w:after="0" w:line="240" w:lineRule="auto"/>
              <w:rPr>
                <w:color w:val="000000"/>
              </w:rPr>
            </w:pPr>
            <w:r w:rsidRPr="007A51F1">
              <w:rPr>
                <w:color w:val="000000"/>
              </w:rPr>
              <w:t>.69</w:t>
            </w:r>
          </w:p>
        </w:tc>
        <w:tc>
          <w:tcPr>
            <w:tcW w:w="1306" w:type="dxa"/>
            <w:tcBorders>
              <w:top w:val="nil"/>
              <w:left w:val="nil"/>
              <w:bottom w:val="nil"/>
              <w:right w:val="nil"/>
            </w:tcBorders>
            <w:shd w:val="clear" w:color="auto" w:fill="auto"/>
            <w:noWrap/>
            <w:vAlign w:val="center"/>
            <w:hideMark/>
          </w:tcPr>
          <w:p w14:paraId="630FE545"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nil"/>
              <w:right w:val="nil"/>
            </w:tcBorders>
            <w:shd w:val="clear" w:color="auto" w:fill="auto"/>
            <w:noWrap/>
            <w:vAlign w:val="center"/>
            <w:hideMark/>
          </w:tcPr>
          <w:p w14:paraId="73DB7B61" w14:textId="77777777" w:rsidR="007A51F1" w:rsidRPr="007A51F1" w:rsidRDefault="007A51F1" w:rsidP="00D01A9D">
            <w:pPr>
              <w:spacing w:after="0" w:line="240" w:lineRule="auto"/>
              <w:rPr>
                <w:color w:val="000000"/>
              </w:rPr>
            </w:pPr>
            <w:r w:rsidRPr="007A51F1">
              <w:rPr>
                <w:color w:val="000000"/>
              </w:rPr>
              <w:t>.87</w:t>
            </w:r>
          </w:p>
        </w:tc>
        <w:tc>
          <w:tcPr>
            <w:tcW w:w="1306" w:type="dxa"/>
            <w:tcBorders>
              <w:top w:val="nil"/>
              <w:left w:val="nil"/>
              <w:bottom w:val="nil"/>
              <w:right w:val="nil"/>
            </w:tcBorders>
            <w:shd w:val="clear" w:color="auto" w:fill="auto"/>
            <w:noWrap/>
            <w:vAlign w:val="center"/>
            <w:hideMark/>
          </w:tcPr>
          <w:p w14:paraId="461926FB" w14:textId="77777777" w:rsidR="007A51F1" w:rsidRPr="007A51F1" w:rsidRDefault="007A51F1" w:rsidP="00D01A9D">
            <w:pPr>
              <w:spacing w:after="0" w:line="240" w:lineRule="auto"/>
              <w:rPr>
                <w:color w:val="000000"/>
              </w:rPr>
            </w:pPr>
            <w:r w:rsidRPr="007A51F1">
              <w:rPr>
                <w:color w:val="000000"/>
              </w:rPr>
              <w:t>.75</w:t>
            </w:r>
          </w:p>
        </w:tc>
        <w:tc>
          <w:tcPr>
            <w:tcW w:w="1683" w:type="dxa"/>
            <w:tcBorders>
              <w:top w:val="nil"/>
              <w:left w:val="nil"/>
              <w:bottom w:val="nil"/>
              <w:right w:val="nil"/>
            </w:tcBorders>
            <w:shd w:val="clear" w:color="auto" w:fill="auto"/>
            <w:noWrap/>
            <w:vAlign w:val="center"/>
            <w:hideMark/>
          </w:tcPr>
          <w:p w14:paraId="4DF95701" w14:textId="77777777" w:rsidR="007A51F1" w:rsidRPr="007A51F1" w:rsidRDefault="007A51F1" w:rsidP="00D01A9D">
            <w:pPr>
              <w:spacing w:after="0" w:line="240" w:lineRule="auto"/>
              <w:rPr>
                <w:color w:val="000000"/>
              </w:rPr>
            </w:pPr>
            <w:r w:rsidRPr="007A51F1">
              <w:rPr>
                <w:color w:val="000000"/>
              </w:rPr>
              <w:t>.78</w:t>
            </w:r>
          </w:p>
        </w:tc>
      </w:tr>
      <w:tr w:rsidR="00EF3714" w:rsidRPr="007A51F1" w14:paraId="10E6597A" w14:textId="77777777" w:rsidTr="00EF3714">
        <w:trPr>
          <w:trHeight w:val="318"/>
        </w:trPr>
        <w:tc>
          <w:tcPr>
            <w:tcW w:w="2120" w:type="dxa"/>
            <w:tcBorders>
              <w:top w:val="nil"/>
              <w:left w:val="nil"/>
              <w:bottom w:val="nil"/>
              <w:right w:val="nil"/>
            </w:tcBorders>
            <w:shd w:val="clear" w:color="auto" w:fill="auto"/>
            <w:noWrap/>
            <w:vAlign w:val="bottom"/>
            <w:hideMark/>
          </w:tcPr>
          <w:p w14:paraId="15FE7259" w14:textId="77777777" w:rsidR="007A51F1" w:rsidRPr="007A51F1" w:rsidRDefault="007A51F1" w:rsidP="007A51F1">
            <w:pPr>
              <w:spacing w:after="0" w:line="240" w:lineRule="auto"/>
              <w:jc w:val="left"/>
              <w:rPr>
                <w:color w:val="000000"/>
              </w:rPr>
            </w:pPr>
            <w:r w:rsidRPr="007A51F1">
              <w:rPr>
                <w:color w:val="000000"/>
              </w:rPr>
              <w:t>Bolivia</w:t>
            </w:r>
          </w:p>
        </w:tc>
        <w:tc>
          <w:tcPr>
            <w:tcW w:w="1395" w:type="dxa"/>
            <w:tcBorders>
              <w:top w:val="nil"/>
              <w:left w:val="nil"/>
              <w:bottom w:val="nil"/>
              <w:right w:val="nil"/>
            </w:tcBorders>
            <w:shd w:val="clear" w:color="auto" w:fill="auto"/>
            <w:noWrap/>
            <w:vAlign w:val="center"/>
            <w:hideMark/>
          </w:tcPr>
          <w:p w14:paraId="5D757574" w14:textId="77777777" w:rsidR="007A51F1" w:rsidRPr="007A51F1" w:rsidRDefault="007A51F1" w:rsidP="00D01A9D">
            <w:pPr>
              <w:spacing w:after="0" w:line="240" w:lineRule="auto"/>
              <w:rPr>
                <w:color w:val="000000"/>
              </w:rPr>
            </w:pPr>
            <w:r w:rsidRPr="007A51F1">
              <w:rPr>
                <w:color w:val="000000"/>
              </w:rPr>
              <w:t>.81</w:t>
            </w:r>
          </w:p>
        </w:tc>
        <w:tc>
          <w:tcPr>
            <w:tcW w:w="1306" w:type="dxa"/>
            <w:tcBorders>
              <w:top w:val="nil"/>
              <w:left w:val="nil"/>
              <w:bottom w:val="nil"/>
              <w:right w:val="nil"/>
            </w:tcBorders>
            <w:shd w:val="clear" w:color="auto" w:fill="auto"/>
            <w:noWrap/>
            <w:vAlign w:val="center"/>
            <w:hideMark/>
          </w:tcPr>
          <w:p w14:paraId="7E27DB06"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5A0A66FF" w14:textId="77777777" w:rsidR="007A51F1" w:rsidRPr="007A51F1" w:rsidRDefault="007A51F1" w:rsidP="00D01A9D">
            <w:pPr>
              <w:spacing w:after="0" w:line="240" w:lineRule="auto"/>
              <w:rPr>
                <w:color w:val="000000"/>
              </w:rPr>
            </w:pPr>
            <w:r w:rsidRPr="007A51F1">
              <w:rPr>
                <w:color w:val="000000"/>
              </w:rPr>
              <w:t>.56</w:t>
            </w:r>
          </w:p>
        </w:tc>
        <w:tc>
          <w:tcPr>
            <w:tcW w:w="1306" w:type="dxa"/>
            <w:tcBorders>
              <w:top w:val="nil"/>
              <w:left w:val="nil"/>
              <w:bottom w:val="nil"/>
              <w:right w:val="nil"/>
            </w:tcBorders>
            <w:shd w:val="clear" w:color="auto" w:fill="auto"/>
            <w:noWrap/>
            <w:vAlign w:val="center"/>
            <w:hideMark/>
          </w:tcPr>
          <w:p w14:paraId="5C1E1B2D" w14:textId="77777777" w:rsidR="007A51F1" w:rsidRPr="007A51F1" w:rsidRDefault="007A51F1" w:rsidP="00D01A9D">
            <w:pPr>
              <w:spacing w:after="0" w:line="240" w:lineRule="auto"/>
              <w:rPr>
                <w:color w:val="000000"/>
              </w:rPr>
            </w:pPr>
            <w:r w:rsidRPr="007A51F1">
              <w:rPr>
                <w:color w:val="000000"/>
              </w:rPr>
              <w:t>.47</w:t>
            </w:r>
          </w:p>
        </w:tc>
        <w:tc>
          <w:tcPr>
            <w:tcW w:w="1683" w:type="dxa"/>
            <w:tcBorders>
              <w:top w:val="nil"/>
              <w:left w:val="nil"/>
              <w:bottom w:val="nil"/>
              <w:right w:val="nil"/>
            </w:tcBorders>
            <w:shd w:val="clear" w:color="auto" w:fill="auto"/>
            <w:noWrap/>
            <w:vAlign w:val="center"/>
            <w:hideMark/>
          </w:tcPr>
          <w:p w14:paraId="0A0585B0" w14:textId="77777777" w:rsidR="007A51F1" w:rsidRPr="007A51F1" w:rsidRDefault="007A51F1" w:rsidP="00D01A9D">
            <w:pPr>
              <w:spacing w:after="0" w:line="240" w:lineRule="auto"/>
              <w:rPr>
                <w:color w:val="000000"/>
              </w:rPr>
            </w:pPr>
            <w:r w:rsidRPr="007A51F1">
              <w:rPr>
                <w:color w:val="000000"/>
              </w:rPr>
              <w:t>.63</w:t>
            </w:r>
          </w:p>
        </w:tc>
      </w:tr>
      <w:tr w:rsidR="00EF3714" w:rsidRPr="007A51F1" w14:paraId="3FF57503" w14:textId="77777777" w:rsidTr="00EF3714">
        <w:trPr>
          <w:trHeight w:val="318"/>
        </w:trPr>
        <w:tc>
          <w:tcPr>
            <w:tcW w:w="2120" w:type="dxa"/>
            <w:tcBorders>
              <w:top w:val="nil"/>
              <w:left w:val="nil"/>
              <w:bottom w:val="nil"/>
              <w:right w:val="nil"/>
            </w:tcBorders>
            <w:shd w:val="clear" w:color="auto" w:fill="auto"/>
            <w:noWrap/>
            <w:vAlign w:val="bottom"/>
            <w:hideMark/>
          </w:tcPr>
          <w:p w14:paraId="70035B0F" w14:textId="77777777" w:rsidR="007A51F1" w:rsidRPr="007A51F1" w:rsidRDefault="007A51F1" w:rsidP="007A51F1">
            <w:pPr>
              <w:spacing w:after="0" w:line="240" w:lineRule="auto"/>
              <w:jc w:val="left"/>
              <w:rPr>
                <w:color w:val="000000"/>
              </w:rPr>
            </w:pPr>
            <w:r w:rsidRPr="007A51F1">
              <w:rPr>
                <w:color w:val="000000"/>
              </w:rPr>
              <w:t>Brazil</w:t>
            </w:r>
          </w:p>
        </w:tc>
        <w:tc>
          <w:tcPr>
            <w:tcW w:w="1395" w:type="dxa"/>
            <w:tcBorders>
              <w:top w:val="nil"/>
              <w:left w:val="nil"/>
              <w:bottom w:val="nil"/>
              <w:right w:val="nil"/>
            </w:tcBorders>
            <w:shd w:val="clear" w:color="auto" w:fill="auto"/>
            <w:noWrap/>
            <w:vAlign w:val="center"/>
            <w:hideMark/>
          </w:tcPr>
          <w:p w14:paraId="4BC94210" w14:textId="77777777" w:rsidR="007A51F1" w:rsidRPr="007A51F1" w:rsidRDefault="007A51F1" w:rsidP="00D01A9D">
            <w:pPr>
              <w:spacing w:after="0" w:line="240" w:lineRule="auto"/>
              <w:rPr>
                <w:color w:val="000000"/>
              </w:rPr>
            </w:pPr>
            <w:r w:rsidRPr="007A51F1">
              <w:rPr>
                <w:color w:val="000000"/>
              </w:rPr>
              <w:t>.69</w:t>
            </w:r>
          </w:p>
        </w:tc>
        <w:tc>
          <w:tcPr>
            <w:tcW w:w="1306" w:type="dxa"/>
            <w:tcBorders>
              <w:top w:val="nil"/>
              <w:left w:val="nil"/>
              <w:bottom w:val="nil"/>
              <w:right w:val="nil"/>
            </w:tcBorders>
            <w:shd w:val="clear" w:color="auto" w:fill="auto"/>
            <w:noWrap/>
            <w:vAlign w:val="center"/>
            <w:hideMark/>
          </w:tcPr>
          <w:p w14:paraId="02F84425" w14:textId="77777777" w:rsidR="007A51F1" w:rsidRPr="007A51F1" w:rsidRDefault="007A51F1" w:rsidP="00D01A9D">
            <w:pPr>
              <w:spacing w:after="0" w:line="240" w:lineRule="auto"/>
              <w:rPr>
                <w:color w:val="000000"/>
              </w:rPr>
            </w:pPr>
            <w:r w:rsidRPr="007A51F1">
              <w:rPr>
                <w:color w:val="000000"/>
              </w:rPr>
              <w:t>.72</w:t>
            </w:r>
          </w:p>
        </w:tc>
        <w:tc>
          <w:tcPr>
            <w:tcW w:w="1306" w:type="dxa"/>
            <w:tcBorders>
              <w:top w:val="nil"/>
              <w:left w:val="nil"/>
              <w:bottom w:val="nil"/>
              <w:right w:val="nil"/>
            </w:tcBorders>
            <w:shd w:val="clear" w:color="auto" w:fill="auto"/>
            <w:noWrap/>
            <w:vAlign w:val="center"/>
            <w:hideMark/>
          </w:tcPr>
          <w:p w14:paraId="095AFB3D" w14:textId="77777777" w:rsidR="007A51F1" w:rsidRPr="007A51F1" w:rsidRDefault="007A51F1" w:rsidP="00D01A9D">
            <w:pPr>
              <w:spacing w:after="0" w:line="240" w:lineRule="auto"/>
              <w:rPr>
                <w:color w:val="000000"/>
              </w:rPr>
            </w:pPr>
            <w:r w:rsidRPr="007A51F1">
              <w:rPr>
                <w:color w:val="000000"/>
              </w:rPr>
              <w:t>.68</w:t>
            </w:r>
          </w:p>
        </w:tc>
        <w:tc>
          <w:tcPr>
            <w:tcW w:w="1306" w:type="dxa"/>
            <w:tcBorders>
              <w:top w:val="nil"/>
              <w:left w:val="nil"/>
              <w:bottom w:val="nil"/>
              <w:right w:val="nil"/>
            </w:tcBorders>
            <w:shd w:val="clear" w:color="auto" w:fill="auto"/>
            <w:noWrap/>
            <w:vAlign w:val="center"/>
            <w:hideMark/>
          </w:tcPr>
          <w:p w14:paraId="026504B2" w14:textId="77777777" w:rsidR="007A51F1" w:rsidRPr="007A51F1" w:rsidRDefault="007A51F1" w:rsidP="00D01A9D">
            <w:pPr>
              <w:spacing w:after="0" w:line="240" w:lineRule="auto"/>
              <w:rPr>
                <w:color w:val="000000"/>
              </w:rPr>
            </w:pPr>
            <w:r w:rsidRPr="007A51F1">
              <w:rPr>
                <w:color w:val="000000"/>
              </w:rPr>
              <w:t>.36</w:t>
            </w:r>
          </w:p>
        </w:tc>
        <w:tc>
          <w:tcPr>
            <w:tcW w:w="1683" w:type="dxa"/>
            <w:tcBorders>
              <w:top w:val="nil"/>
              <w:left w:val="nil"/>
              <w:bottom w:val="nil"/>
              <w:right w:val="nil"/>
            </w:tcBorders>
            <w:shd w:val="clear" w:color="auto" w:fill="auto"/>
            <w:noWrap/>
            <w:vAlign w:val="center"/>
            <w:hideMark/>
          </w:tcPr>
          <w:p w14:paraId="7871C73D" w14:textId="77777777" w:rsidR="007A51F1" w:rsidRPr="007A51F1" w:rsidRDefault="007A51F1" w:rsidP="00D01A9D">
            <w:pPr>
              <w:spacing w:after="0" w:line="240" w:lineRule="auto"/>
              <w:rPr>
                <w:color w:val="000000"/>
              </w:rPr>
            </w:pPr>
            <w:r w:rsidRPr="007A51F1">
              <w:rPr>
                <w:color w:val="000000"/>
              </w:rPr>
              <w:t>.61</w:t>
            </w:r>
          </w:p>
        </w:tc>
      </w:tr>
      <w:tr w:rsidR="00EF3714" w:rsidRPr="007A51F1" w14:paraId="3CF2948D" w14:textId="77777777" w:rsidTr="00EF3714">
        <w:trPr>
          <w:trHeight w:val="318"/>
        </w:trPr>
        <w:tc>
          <w:tcPr>
            <w:tcW w:w="2120" w:type="dxa"/>
            <w:tcBorders>
              <w:top w:val="nil"/>
              <w:left w:val="nil"/>
              <w:bottom w:val="nil"/>
              <w:right w:val="nil"/>
            </w:tcBorders>
            <w:shd w:val="clear" w:color="auto" w:fill="auto"/>
            <w:noWrap/>
            <w:vAlign w:val="bottom"/>
            <w:hideMark/>
          </w:tcPr>
          <w:p w14:paraId="4696D5B9" w14:textId="77777777" w:rsidR="007A51F1" w:rsidRPr="007A51F1" w:rsidRDefault="007A51F1" w:rsidP="007A51F1">
            <w:pPr>
              <w:spacing w:after="0" w:line="240" w:lineRule="auto"/>
              <w:jc w:val="left"/>
              <w:rPr>
                <w:color w:val="000000"/>
              </w:rPr>
            </w:pPr>
            <w:r w:rsidRPr="007A51F1">
              <w:rPr>
                <w:color w:val="000000"/>
              </w:rPr>
              <w:t>Bulgaria</w:t>
            </w:r>
          </w:p>
        </w:tc>
        <w:tc>
          <w:tcPr>
            <w:tcW w:w="1395" w:type="dxa"/>
            <w:tcBorders>
              <w:top w:val="nil"/>
              <w:left w:val="nil"/>
              <w:bottom w:val="nil"/>
              <w:right w:val="nil"/>
            </w:tcBorders>
            <w:shd w:val="clear" w:color="auto" w:fill="auto"/>
            <w:noWrap/>
            <w:vAlign w:val="center"/>
            <w:hideMark/>
          </w:tcPr>
          <w:p w14:paraId="2391E7AF" w14:textId="77777777" w:rsidR="007A51F1" w:rsidRPr="007A51F1" w:rsidRDefault="007A51F1" w:rsidP="00D01A9D">
            <w:pPr>
              <w:spacing w:after="0" w:line="240" w:lineRule="auto"/>
              <w:rPr>
                <w:color w:val="000000"/>
              </w:rPr>
            </w:pPr>
            <w:r w:rsidRPr="007A51F1">
              <w:rPr>
                <w:color w:val="000000"/>
              </w:rPr>
              <w:t>.84</w:t>
            </w:r>
          </w:p>
        </w:tc>
        <w:tc>
          <w:tcPr>
            <w:tcW w:w="1306" w:type="dxa"/>
            <w:tcBorders>
              <w:top w:val="nil"/>
              <w:left w:val="nil"/>
              <w:bottom w:val="nil"/>
              <w:right w:val="nil"/>
            </w:tcBorders>
            <w:shd w:val="clear" w:color="auto" w:fill="auto"/>
            <w:noWrap/>
            <w:vAlign w:val="center"/>
            <w:hideMark/>
          </w:tcPr>
          <w:p w14:paraId="2F71F75F"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422BC656" w14:textId="77777777" w:rsidR="007A51F1" w:rsidRPr="007A51F1" w:rsidRDefault="007A51F1" w:rsidP="00D01A9D">
            <w:pPr>
              <w:spacing w:after="0" w:line="240" w:lineRule="auto"/>
              <w:rPr>
                <w:color w:val="000000"/>
              </w:rPr>
            </w:pPr>
            <w:r w:rsidRPr="007A51F1">
              <w:rPr>
                <w:color w:val="000000"/>
              </w:rPr>
              <w:t>.84</w:t>
            </w:r>
          </w:p>
        </w:tc>
        <w:tc>
          <w:tcPr>
            <w:tcW w:w="1306" w:type="dxa"/>
            <w:tcBorders>
              <w:top w:val="nil"/>
              <w:left w:val="nil"/>
              <w:bottom w:val="nil"/>
              <w:right w:val="nil"/>
            </w:tcBorders>
            <w:shd w:val="clear" w:color="auto" w:fill="auto"/>
            <w:noWrap/>
            <w:vAlign w:val="center"/>
            <w:hideMark/>
          </w:tcPr>
          <w:p w14:paraId="2464AE61" w14:textId="77777777" w:rsidR="007A51F1" w:rsidRPr="007A51F1" w:rsidRDefault="007A51F1" w:rsidP="00D01A9D">
            <w:pPr>
              <w:spacing w:after="0" w:line="240" w:lineRule="auto"/>
              <w:rPr>
                <w:color w:val="000000"/>
              </w:rPr>
            </w:pPr>
            <w:r w:rsidRPr="007A51F1">
              <w:rPr>
                <w:color w:val="000000"/>
              </w:rPr>
              <w:t>.63</w:t>
            </w:r>
          </w:p>
        </w:tc>
        <w:tc>
          <w:tcPr>
            <w:tcW w:w="1683" w:type="dxa"/>
            <w:tcBorders>
              <w:top w:val="nil"/>
              <w:left w:val="nil"/>
              <w:bottom w:val="nil"/>
              <w:right w:val="nil"/>
            </w:tcBorders>
            <w:shd w:val="clear" w:color="auto" w:fill="auto"/>
            <w:noWrap/>
            <w:vAlign w:val="center"/>
            <w:hideMark/>
          </w:tcPr>
          <w:p w14:paraId="4582909C" w14:textId="77777777" w:rsidR="007A51F1" w:rsidRPr="007A51F1" w:rsidRDefault="007A51F1" w:rsidP="00D01A9D">
            <w:pPr>
              <w:spacing w:after="0" w:line="240" w:lineRule="auto"/>
              <w:rPr>
                <w:color w:val="000000"/>
              </w:rPr>
            </w:pPr>
            <w:r w:rsidRPr="007A51F1">
              <w:rPr>
                <w:color w:val="000000"/>
              </w:rPr>
              <w:t>.77</w:t>
            </w:r>
          </w:p>
        </w:tc>
      </w:tr>
      <w:tr w:rsidR="00EF3714" w:rsidRPr="007A51F1" w14:paraId="39487AD9" w14:textId="77777777" w:rsidTr="00EF3714">
        <w:trPr>
          <w:trHeight w:val="318"/>
        </w:trPr>
        <w:tc>
          <w:tcPr>
            <w:tcW w:w="2120" w:type="dxa"/>
            <w:tcBorders>
              <w:top w:val="nil"/>
              <w:left w:val="nil"/>
              <w:bottom w:val="nil"/>
              <w:right w:val="nil"/>
            </w:tcBorders>
            <w:shd w:val="clear" w:color="auto" w:fill="auto"/>
            <w:noWrap/>
            <w:vAlign w:val="bottom"/>
            <w:hideMark/>
          </w:tcPr>
          <w:p w14:paraId="4139C3EF" w14:textId="77777777" w:rsidR="007A51F1" w:rsidRPr="007A51F1" w:rsidRDefault="007A51F1" w:rsidP="007A51F1">
            <w:pPr>
              <w:spacing w:after="0" w:line="240" w:lineRule="auto"/>
              <w:jc w:val="left"/>
              <w:rPr>
                <w:color w:val="000000"/>
              </w:rPr>
            </w:pPr>
            <w:r w:rsidRPr="007A51F1">
              <w:rPr>
                <w:color w:val="000000"/>
              </w:rPr>
              <w:t>Canada</w:t>
            </w:r>
          </w:p>
        </w:tc>
        <w:tc>
          <w:tcPr>
            <w:tcW w:w="1395" w:type="dxa"/>
            <w:tcBorders>
              <w:top w:val="nil"/>
              <w:left w:val="nil"/>
              <w:bottom w:val="nil"/>
              <w:right w:val="nil"/>
            </w:tcBorders>
            <w:shd w:val="clear" w:color="auto" w:fill="auto"/>
            <w:noWrap/>
            <w:vAlign w:val="center"/>
            <w:hideMark/>
          </w:tcPr>
          <w:p w14:paraId="601E7214" w14:textId="77777777" w:rsidR="007A51F1" w:rsidRPr="007A51F1" w:rsidRDefault="007A51F1" w:rsidP="00D01A9D">
            <w:pPr>
              <w:spacing w:after="0" w:line="240" w:lineRule="auto"/>
              <w:rPr>
                <w:color w:val="000000"/>
              </w:rPr>
            </w:pPr>
            <w:r w:rsidRPr="007A51F1">
              <w:rPr>
                <w:color w:val="000000"/>
              </w:rPr>
              <w:t>.69</w:t>
            </w:r>
          </w:p>
        </w:tc>
        <w:tc>
          <w:tcPr>
            <w:tcW w:w="1306" w:type="dxa"/>
            <w:tcBorders>
              <w:top w:val="nil"/>
              <w:left w:val="nil"/>
              <w:bottom w:val="nil"/>
              <w:right w:val="nil"/>
            </w:tcBorders>
            <w:shd w:val="clear" w:color="auto" w:fill="auto"/>
            <w:noWrap/>
            <w:vAlign w:val="center"/>
            <w:hideMark/>
          </w:tcPr>
          <w:p w14:paraId="0B0B4355"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4A22D418"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352F69BF" w14:textId="77777777" w:rsidR="007A51F1" w:rsidRPr="007A51F1" w:rsidRDefault="007A51F1" w:rsidP="00D01A9D">
            <w:pPr>
              <w:spacing w:after="0" w:line="240" w:lineRule="auto"/>
              <w:rPr>
                <w:color w:val="000000"/>
              </w:rPr>
            </w:pPr>
            <w:r w:rsidRPr="007A51F1">
              <w:rPr>
                <w:color w:val="000000"/>
              </w:rPr>
              <w:t>.56</w:t>
            </w:r>
          </w:p>
        </w:tc>
        <w:tc>
          <w:tcPr>
            <w:tcW w:w="1683" w:type="dxa"/>
            <w:tcBorders>
              <w:top w:val="nil"/>
              <w:left w:val="nil"/>
              <w:bottom w:val="nil"/>
              <w:right w:val="nil"/>
            </w:tcBorders>
            <w:shd w:val="clear" w:color="auto" w:fill="auto"/>
            <w:noWrap/>
            <w:vAlign w:val="center"/>
            <w:hideMark/>
          </w:tcPr>
          <w:p w14:paraId="76F893BC" w14:textId="77777777" w:rsidR="007A51F1" w:rsidRPr="007A51F1" w:rsidRDefault="007A51F1" w:rsidP="00D01A9D">
            <w:pPr>
              <w:spacing w:after="0" w:line="240" w:lineRule="auto"/>
              <w:rPr>
                <w:color w:val="000000"/>
              </w:rPr>
            </w:pPr>
            <w:r w:rsidRPr="007A51F1">
              <w:rPr>
                <w:color w:val="000000"/>
              </w:rPr>
              <w:t>.69</w:t>
            </w:r>
          </w:p>
        </w:tc>
      </w:tr>
      <w:tr w:rsidR="00EF3714" w:rsidRPr="007A51F1" w14:paraId="316D0BAA" w14:textId="77777777" w:rsidTr="00EF3714">
        <w:trPr>
          <w:trHeight w:val="318"/>
        </w:trPr>
        <w:tc>
          <w:tcPr>
            <w:tcW w:w="2120" w:type="dxa"/>
            <w:tcBorders>
              <w:top w:val="nil"/>
              <w:left w:val="nil"/>
              <w:bottom w:val="nil"/>
              <w:right w:val="nil"/>
            </w:tcBorders>
            <w:shd w:val="clear" w:color="auto" w:fill="auto"/>
            <w:noWrap/>
            <w:vAlign w:val="bottom"/>
            <w:hideMark/>
          </w:tcPr>
          <w:p w14:paraId="2C9DB1DF" w14:textId="77777777" w:rsidR="007A51F1" w:rsidRPr="007A51F1" w:rsidRDefault="007A51F1" w:rsidP="007A51F1">
            <w:pPr>
              <w:spacing w:after="0" w:line="240" w:lineRule="auto"/>
              <w:jc w:val="left"/>
              <w:rPr>
                <w:color w:val="000000"/>
              </w:rPr>
            </w:pPr>
            <w:r w:rsidRPr="007A51F1">
              <w:rPr>
                <w:color w:val="000000"/>
              </w:rPr>
              <w:t>Chile</w:t>
            </w:r>
          </w:p>
        </w:tc>
        <w:tc>
          <w:tcPr>
            <w:tcW w:w="1395" w:type="dxa"/>
            <w:tcBorders>
              <w:top w:val="nil"/>
              <w:left w:val="nil"/>
              <w:bottom w:val="nil"/>
              <w:right w:val="nil"/>
            </w:tcBorders>
            <w:shd w:val="clear" w:color="auto" w:fill="auto"/>
            <w:noWrap/>
            <w:vAlign w:val="center"/>
            <w:hideMark/>
          </w:tcPr>
          <w:p w14:paraId="38BD8616" w14:textId="77777777" w:rsidR="007A51F1" w:rsidRPr="007A51F1" w:rsidRDefault="007A51F1" w:rsidP="00D01A9D">
            <w:pPr>
              <w:spacing w:after="0" w:line="240" w:lineRule="auto"/>
              <w:rPr>
                <w:color w:val="000000"/>
              </w:rPr>
            </w:pPr>
            <w:r w:rsidRPr="007A51F1">
              <w:rPr>
                <w:color w:val="000000"/>
              </w:rPr>
              <w:t>.69</w:t>
            </w:r>
          </w:p>
        </w:tc>
        <w:tc>
          <w:tcPr>
            <w:tcW w:w="1306" w:type="dxa"/>
            <w:tcBorders>
              <w:top w:val="nil"/>
              <w:left w:val="nil"/>
              <w:bottom w:val="nil"/>
              <w:right w:val="nil"/>
            </w:tcBorders>
            <w:shd w:val="clear" w:color="auto" w:fill="auto"/>
            <w:noWrap/>
            <w:vAlign w:val="center"/>
            <w:hideMark/>
          </w:tcPr>
          <w:p w14:paraId="59CDDE2C"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49D11234" w14:textId="77777777" w:rsidR="007A51F1" w:rsidRPr="007A51F1" w:rsidRDefault="007A51F1" w:rsidP="00D01A9D">
            <w:pPr>
              <w:spacing w:after="0" w:line="240" w:lineRule="auto"/>
              <w:rPr>
                <w:color w:val="000000"/>
              </w:rPr>
            </w:pPr>
            <w:r w:rsidRPr="007A51F1">
              <w:rPr>
                <w:color w:val="000000"/>
              </w:rPr>
              <w:t>.73</w:t>
            </w:r>
          </w:p>
        </w:tc>
        <w:tc>
          <w:tcPr>
            <w:tcW w:w="1306" w:type="dxa"/>
            <w:tcBorders>
              <w:top w:val="nil"/>
              <w:left w:val="nil"/>
              <w:bottom w:val="nil"/>
              <w:right w:val="nil"/>
            </w:tcBorders>
            <w:shd w:val="clear" w:color="auto" w:fill="auto"/>
            <w:noWrap/>
            <w:vAlign w:val="center"/>
            <w:hideMark/>
          </w:tcPr>
          <w:p w14:paraId="74B43505" w14:textId="77777777" w:rsidR="007A51F1" w:rsidRPr="007A51F1" w:rsidRDefault="007A51F1" w:rsidP="00D01A9D">
            <w:pPr>
              <w:spacing w:after="0" w:line="240" w:lineRule="auto"/>
              <w:rPr>
                <w:color w:val="000000"/>
              </w:rPr>
            </w:pPr>
            <w:r w:rsidRPr="007A51F1">
              <w:rPr>
                <w:color w:val="000000"/>
              </w:rPr>
              <w:t>.51</w:t>
            </w:r>
          </w:p>
        </w:tc>
        <w:tc>
          <w:tcPr>
            <w:tcW w:w="1683" w:type="dxa"/>
            <w:tcBorders>
              <w:top w:val="nil"/>
              <w:left w:val="nil"/>
              <w:bottom w:val="nil"/>
              <w:right w:val="nil"/>
            </w:tcBorders>
            <w:shd w:val="clear" w:color="auto" w:fill="auto"/>
            <w:noWrap/>
            <w:vAlign w:val="center"/>
            <w:hideMark/>
          </w:tcPr>
          <w:p w14:paraId="406302BE" w14:textId="77777777" w:rsidR="007A51F1" w:rsidRPr="007A51F1" w:rsidRDefault="007A51F1" w:rsidP="00D01A9D">
            <w:pPr>
              <w:spacing w:after="0" w:line="240" w:lineRule="auto"/>
              <w:rPr>
                <w:color w:val="000000"/>
              </w:rPr>
            </w:pPr>
            <w:r w:rsidRPr="007A51F1">
              <w:rPr>
                <w:color w:val="000000"/>
              </w:rPr>
              <w:t>.68</w:t>
            </w:r>
          </w:p>
        </w:tc>
      </w:tr>
      <w:tr w:rsidR="00EF3714" w:rsidRPr="007A51F1" w14:paraId="315F9FC4" w14:textId="77777777" w:rsidTr="00EF3714">
        <w:trPr>
          <w:trHeight w:val="318"/>
        </w:trPr>
        <w:tc>
          <w:tcPr>
            <w:tcW w:w="2120" w:type="dxa"/>
            <w:tcBorders>
              <w:top w:val="nil"/>
              <w:left w:val="nil"/>
              <w:bottom w:val="nil"/>
              <w:right w:val="nil"/>
            </w:tcBorders>
            <w:shd w:val="clear" w:color="auto" w:fill="auto"/>
            <w:noWrap/>
            <w:vAlign w:val="bottom"/>
            <w:hideMark/>
          </w:tcPr>
          <w:p w14:paraId="3F654E07" w14:textId="77777777" w:rsidR="007A51F1" w:rsidRPr="007A51F1" w:rsidRDefault="007A51F1" w:rsidP="007A51F1">
            <w:pPr>
              <w:spacing w:after="0" w:line="240" w:lineRule="auto"/>
              <w:jc w:val="left"/>
              <w:rPr>
                <w:color w:val="000000"/>
              </w:rPr>
            </w:pPr>
            <w:r w:rsidRPr="007A51F1">
              <w:rPr>
                <w:color w:val="000000"/>
              </w:rPr>
              <w:t>China</w:t>
            </w:r>
          </w:p>
        </w:tc>
        <w:tc>
          <w:tcPr>
            <w:tcW w:w="1395" w:type="dxa"/>
            <w:tcBorders>
              <w:top w:val="nil"/>
              <w:left w:val="nil"/>
              <w:bottom w:val="nil"/>
              <w:right w:val="nil"/>
            </w:tcBorders>
            <w:shd w:val="clear" w:color="auto" w:fill="auto"/>
            <w:noWrap/>
            <w:vAlign w:val="center"/>
            <w:hideMark/>
          </w:tcPr>
          <w:p w14:paraId="2C6F3125" w14:textId="77777777" w:rsidR="007A51F1" w:rsidRPr="007A51F1" w:rsidRDefault="007A51F1" w:rsidP="00D01A9D">
            <w:pPr>
              <w:spacing w:after="0" w:line="240" w:lineRule="auto"/>
              <w:rPr>
                <w:color w:val="000000"/>
              </w:rPr>
            </w:pPr>
            <w:r w:rsidRPr="007A51F1">
              <w:rPr>
                <w:color w:val="000000"/>
              </w:rPr>
              <w:t>.73</w:t>
            </w:r>
          </w:p>
        </w:tc>
        <w:tc>
          <w:tcPr>
            <w:tcW w:w="1306" w:type="dxa"/>
            <w:tcBorders>
              <w:top w:val="nil"/>
              <w:left w:val="nil"/>
              <w:bottom w:val="nil"/>
              <w:right w:val="nil"/>
            </w:tcBorders>
            <w:shd w:val="clear" w:color="auto" w:fill="auto"/>
            <w:noWrap/>
            <w:vAlign w:val="center"/>
            <w:hideMark/>
          </w:tcPr>
          <w:p w14:paraId="40BD20AC"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329B4439" w14:textId="77777777" w:rsidR="007A51F1" w:rsidRPr="007A51F1" w:rsidRDefault="007A51F1" w:rsidP="00D01A9D">
            <w:pPr>
              <w:spacing w:after="0" w:line="240" w:lineRule="auto"/>
              <w:rPr>
                <w:color w:val="000000"/>
              </w:rPr>
            </w:pPr>
            <w:r w:rsidRPr="007A51F1">
              <w:rPr>
                <w:color w:val="000000"/>
              </w:rPr>
              <w:t>.63</w:t>
            </w:r>
          </w:p>
        </w:tc>
        <w:tc>
          <w:tcPr>
            <w:tcW w:w="1306" w:type="dxa"/>
            <w:tcBorders>
              <w:top w:val="nil"/>
              <w:left w:val="nil"/>
              <w:bottom w:val="nil"/>
              <w:right w:val="nil"/>
            </w:tcBorders>
            <w:shd w:val="clear" w:color="auto" w:fill="auto"/>
            <w:noWrap/>
            <w:vAlign w:val="center"/>
            <w:hideMark/>
          </w:tcPr>
          <w:p w14:paraId="0994FB1A" w14:textId="77777777" w:rsidR="007A51F1" w:rsidRPr="007A51F1" w:rsidRDefault="007A51F1" w:rsidP="00D01A9D">
            <w:pPr>
              <w:spacing w:after="0" w:line="240" w:lineRule="auto"/>
              <w:rPr>
                <w:color w:val="000000"/>
              </w:rPr>
            </w:pPr>
            <w:r w:rsidRPr="007A51F1">
              <w:rPr>
                <w:color w:val="000000"/>
              </w:rPr>
              <w:t>.14</w:t>
            </w:r>
          </w:p>
        </w:tc>
        <w:tc>
          <w:tcPr>
            <w:tcW w:w="1683" w:type="dxa"/>
            <w:tcBorders>
              <w:top w:val="nil"/>
              <w:left w:val="nil"/>
              <w:bottom w:val="nil"/>
              <w:right w:val="nil"/>
            </w:tcBorders>
            <w:shd w:val="clear" w:color="auto" w:fill="auto"/>
            <w:noWrap/>
            <w:vAlign w:val="center"/>
            <w:hideMark/>
          </w:tcPr>
          <w:p w14:paraId="3371D75B" w14:textId="77777777" w:rsidR="007A51F1" w:rsidRPr="007A51F1" w:rsidRDefault="007A51F1" w:rsidP="00D01A9D">
            <w:pPr>
              <w:spacing w:after="0" w:line="240" w:lineRule="auto"/>
              <w:rPr>
                <w:color w:val="000000"/>
              </w:rPr>
            </w:pPr>
            <w:r w:rsidRPr="007A51F1">
              <w:rPr>
                <w:color w:val="000000"/>
              </w:rPr>
              <w:t>.57</w:t>
            </w:r>
          </w:p>
        </w:tc>
      </w:tr>
      <w:tr w:rsidR="00EF3714" w:rsidRPr="007A51F1" w14:paraId="79158A32" w14:textId="77777777" w:rsidTr="00EF3714">
        <w:trPr>
          <w:trHeight w:val="318"/>
        </w:trPr>
        <w:tc>
          <w:tcPr>
            <w:tcW w:w="2120" w:type="dxa"/>
            <w:tcBorders>
              <w:top w:val="nil"/>
              <w:left w:val="nil"/>
              <w:bottom w:val="nil"/>
              <w:right w:val="nil"/>
            </w:tcBorders>
            <w:shd w:val="clear" w:color="auto" w:fill="auto"/>
            <w:noWrap/>
            <w:vAlign w:val="bottom"/>
            <w:hideMark/>
          </w:tcPr>
          <w:p w14:paraId="3C80F6A6" w14:textId="77777777" w:rsidR="007A51F1" w:rsidRPr="007A51F1" w:rsidRDefault="007A51F1" w:rsidP="007A51F1">
            <w:pPr>
              <w:spacing w:after="0" w:line="240" w:lineRule="auto"/>
              <w:jc w:val="left"/>
              <w:rPr>
                <w:color w:val="000000"/>
              </w:rPr>
            </w:pPr>
            <w:r w:rsidRPr="007A51F1">
              <w:rPr>
                <w:color w:val="000000"/>
              </w:rPr>
              <w:t>Colombia</w:t>
            </w:r>
          </w:p>
        </w:tc>
        <w:tc>
          <w:tcPr>
            <w:tcW w:w="1395" w:type="dxa"/>
            <w:tcBorders>
              <w:top w:val="nil"/>
              <w:left w:val="nil"/>
              <w:bottom w:val="nil"/>
              <w:right w:val="nil"/>
            </w:tcBorders>
            <w:shd w:val="clear" w:color="auto" w:fill="auto"/>
            <w:noWrap/>
            <w:vAlign w:val="center"/>
            <w:hideMark/>
          </w:tcPr>
          <w:p w14:paraId="3A830CFB" w14:textId="77777777" w:rsidR="007A51F1" w:rsidRPr="007A51F1" w:rsidRDefault="007A51F1" w:rsidP="00D01A9D">
            <w:pPr>
              <w:spacing w:after="0" w:line="240" w:lineRule="auto"/>
              <w:rPr>
                <w:color w:val="000000"/>
              </w:rPr>
            </w:pPr>
            <w:r w:rsidRPr="007A51F1">
              <w:rPr>
                <w:color w:val="000000"/>
              </w:rPr>
              <w:t>.72</w:t>
            </w:r>
          </w:p>
        </w:tc>
        <w:tc>
          <w:tcPr>
            <w:tcW w:w="1306" w:type="dxa"/>
            <w:tcBorders>
              <w:top w:val="nil"/>
              <w:left w:val="nil"/>
              <w:bottom w:val="nil"/>
              <w:right w:val="nil"/>
            </w:tcBorders>
            <w:shd w:val="clear" w:color="auto" w:fill="auto"/>
            <w:noWrap/>
            <w:vAlign w:val="center"/>
            <w:hideMark/>
          </w:tcPr>
          <w:p w14:paraId="5095C862"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1D353138" w14:textId="77777777" w:rsidR="007A51F1" w:rsidRPr="007A51F1" w:rsidRDefault="007A51F1" w:rsidP="00D01A9D">
            <w:pPr>
              <w:spacing w:after="0" w:line="240" w:lineRule="auto"/>
              <w:rPr>
                <w:color w:val="000000"/>
              </w:rPr>
            </w:pPr>
            <w:r w:rsidRPr="007A51F1">
              <w:rPr>
                <w:color w:val="000000"/>
              </w:rPr>
              <w:t>.42</w:t>
            </w:r>
          </w:p>
        </w:tc>
        <w:tc>
          <w:tcPr>
            <w:tcW w:w="1306" w:type="dxa"/>
            <w:tcBorders>
              <w:top w:val="nil"/>
              <w:left w:val="nil"/>
              <w:bottom w:val="nil"/>
              <w:right w:val="nil"/>
            </w:tcBorders>
            <w:shd w:val="clear" w:color="auto" w:fill="auto"/>
            <w:noWrap/>
            <w:vAlign w:val="center"/>
            <w:hideMark/>
          </w:tcPr>
          <w:p w14:paraId="1CADEE1D" w14:textId="77777777" w:rsidR="007A51F1" w:rsidRPr="007A51F1" w:rsidRDefault="007A51F1" w:rsidP="00D01A9D">
            <w:pPr>
              <w:spacing w:after="0" w:line="240" w:lineRule="auto"/>
              <w:rPr>
                <w:color w:val="000000"/>
              </w:rPr>
            </w:pPr>
            <w:r w:rsidRPr="007A51F1">
              <w:rPr>
                <w:color w:val="000000"/>
              </w:rPr>
              <w:t>.12</w:t>
            </w:r>
          </w:p>
        </w:tc>
        <w:tc>
          <w:tcPr>
            <w:tcW w:w="1683" w:type="dxa"/>
            <w:tcBorders>
              <w:top w:val="nil"/>
              <w:left w:val="nil"/>
              <w:bottom w:val="nil"/>
              <w:right w:val="nil"/>
            </w:tcBorders>
            <w:shd w:val="clear" w:color="auto" w:fill="auto"/>
            <w:noWrap/>
            <w:vAlign w:val="center"/>
            <w:hideMark/>
          </w:tcPr>
          <w:p w14:paraId="57948DEC" w14:textId="77777777" w:rsidR="007A51F1" w:rsidRPr="007A51F1" w:rsidRDefault="007A51F1" w:rsidP="00D01A9D">
            <w:pPr>
              <w:spacing w:after="0" w:line="240" w:lineRule="auto"/>
              <w:rPr>
                <w:color w:val="000000"/>
              </w:rPr>
            </w:pPr>
            <w:r w:rsidRPr="007A51F1">
              <w:rPr>
                <w:color w:val="000000"/>
              </w:rPr>
              <w:t>.50</w:t>
            </w:r>
          </w:p>
        </w:tc>
      </w:tr>
      <w:tr w:rsidR="00EF3714" w:rsidRPr="007A51F1" w14:paraId="01E0CA2B" w14:textId="77777777" w:rsidTr="00EF3714">
        <w:trPr>
          <w:trHeight w:val="318"/>
        </w:trPr>
        <w:tc>
          <w:tcPr>
            <w:tcW w:w="2120" w:type="dxa"/>
            <w:tcBorders>
              <w:top w:val="nil"/>
              <w:left w:val="nil"/>
              <w:bottom w:val="nil"/>
              <w:right w:val="nil"/>
            </w:tcBorders>
            <w:shd w:val="clear" w:color="auto" w:fill="auto"/>
            <w:noWrap/>
            <w:vAlign w:val="bottom"/>
            <w:hideMark/>
          </w:tcPr>
          <w:p w14:paraId="4A639CD8" w14:textId="77777777" w:rsidR="007A51F1" w:rsidRPr="007A51F1" w:rsidRDefault="007A51F1" w:rsidP="007A51F1">
            <w:pPr>
              <w:spacing w:after="0" w:line="240" w:lineRule="auto"/>
              <w:jc w:val="left"/>
              <w:rPr>
                <w:color w:val="000000"/>
              </w:rPr>
            </w:pPr>
            <w:r w:rsidRPr="007A51F1">
              <w:rPr>
                <w:color w:val="000000"/>
              </w:rPr>
              <w:t>Croatia</w:t>
            </w:r>
          </w:p>
        </w:tc>
        <w:tc>
          <w:tcPr>
            <w:tcW w:w="1395" w:type="dxa"/>
            <w:tcBorders>
              <w:top w:val="nil"/>
              <w:left w:val="nil"/>
              <w:bottom w:val="nil"/>
              <w:right w:val="nil"/>
            </w:tcBorders>
            <w:shd w:val="clear" w:color="auto" w:fill="auto"/>
            <w:noWrap/>
            <w:vAlign w:val="center"/>
            <w:hideMark/>
          </w:tcPr>
          <w:p w14:paraId="6A84EDE5"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08A76BD2"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nil"/>
              <w:right w:val="nil"/>
            </w:tcBorders>
            <w:shd w:val="clear" w:color="auto" w:fill="auto"/>
            <w:noWrap/>
            <w:vAlign w:val="center"/>
            <w:hideMark/>
          </w:tcPr>
          <w:p w14:paraId="19E013E9"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44688319" w14:textId="77777777" w:rsidR="007A51F1" w:rsidRPr="007A51F1" w:rsidRDefault="007A51F1" w:rsidP="00D01A9D">
            <w:pPr>
              <w:spacing w:after="0" w:line="240" w:lineRule="auto"/>
              <w:rPr>
                <w:color w:val="000000"/>
              </w:rPr>
            </w:pPr>
            <w:r w:rsidRPr="007A51F1">
              <w:rPr>
                <w:color w:val="000000"/>
              </w:rPr>
              <w:t>.60</w:t>
            </w:r>
          </w:p>
        </w:tc>
        <w:tc>
          <w:tcPr>
            <w:tcW w:w="1683" w:type="dxa"/>
            <w:tcBorders>
              <w:top w:val="nil"/>
              <w:left w:val="nil"/>
              <w:bottom w:val="nil"/>
              <w:right w:val="nil"/>
            </w:tcBorders>
            <w:shd w:val="clear" w:color="auto" w:fill="auto"/>
            <w:noWrap/>
            <w:vAlign w:val="center"/>
            <w:hideMark/>
          </w:tcPr>
          <w:p w14:paraId="787A2B6C" w14:textId="77777777" w:rsidR="007A51F1" w:rsidRPr="007A51F1" w:rsidRDefault="007A51F1" w:rsidP="00D01A9D">
            <w:pPr>
              <w:spacing w:after="0" w:line="240" w:lineRule="auto"/>
              <w:rPr>
                <w:color w:val="000000"/>
              </w:rPr>
            </w:pPr>
            <w:r w:rsidRPr="007A51F1">
              <w:rPr>
                <w:color w:val="000000"/>
              </w:rPr>
              <w:t>.73</w:t>
            </w:r>
          </w:p>
        </w:tc>
      </w:tr>
      <w:tr w:rsidR="00EF3714" w:rsidRPr="007A51F1" w14:paraId="3BA3F291" w14:textId="77777777" w:rsidTr="00EF3714">
        <w:trPr>
          <w:trHeight w:val="318"/>
        </w:trPr>
        <w:tc>
          <w:tcPr>
            <w:tcW w:w="2120" w:type="dxa"/>
            <w:tcBorders>
              <w:top w:val="nil"/>
              <w:left w:val="nil"/>
              <w:bottom w:val="nil"/>
              <w:right w:val="nil"/>
            </w:tcBorders>
            <w:shd w:val="clear" w:color="auto" w:fill="auto"/>
            <w:noWrap/>
            <w:vAlign w:val="bottom"/>
            <w:hideMark/>
          </w:tcPr>
          <w:p w14:paraId="27B897E2" w14:textId="77777777" w:rsidR="007A51F1" w:rsidRPr="007A51F1" w:rsidRDefault="007A51F1" w:rsidP="007A51F1">
            <w:pPr>
              <w:spacing w:after="0" w:line="240" w:lineRule="auto"/>
              <w:jc w:val="left"/>
              <w:rPr>
                <w:color w:val="000000"/>
              </w:rPr>
            </w:pPr>
            <w:r w:rsidRPr="007A51F1">
              <w:rPr>
                <w:color w:val="000000"/>
              </w:rPr>
              <w:t>Czech Republic</w:t>
            </w:r>
          </w:p>
        </w:tc>
        <w:tc>
          <w:tcPr>
            <w:tcW w:w="1395" w:type="dxa"/>
            <w:tcBorders>
              <w:top w:val="nil"/>
              <w:left w:val="nil"/>
              <w:bottom w:val="nil"/>
              <w:right w:val="nil"/>
            </w:tcBorders>
            <w:shd w:val="clear" w:color="auto" w:fill="auto"/>
            <w:noWrap/>
            <w:vAlign w:val="center"/>
            <w:hideMark/>
          </w:tcPr>
          <w:p w14:paraId="6FA77EC9" w14:textId="77777777" w:rsidR="007A51F1" w:rsidRPr="007A51F1" w:rsidRDefault="007A51F1" w:rsidP="00D01A9D">
            <w:pPr>
              <w:spacing w:after="0" w:line="240" w:lineRule="auto"/>
              <w:rPr>
                <w:color w:val="000000"/>
              </w:rPr>
            </w:pPr>
            <w:r w:rsidRPr="007A51F1">
              <w:rPr>
                <w:color w:val="000000"/>
              </w:rPr>
              <w:t>.83</w:t>
            </w:r>
          </w:p>
        </w:tc>
        <w:tc>
          <w:tcPr>
            <w:tcW w:w="1306" w:type="dxa"/>
            <w:tcBorders>
              <w:top w:val="nil"/>
              <w:left w:val="nil"/>
              <w:bottom w:val="nil"/>
              <w:right w:val="nil"/>
            </w:tcBorders>
            <w:shd w:val="clear" w:color="auto" w:fill="auto"/>
            <w:noWrap/>
            <w:vAlign w:val="center"/>
            <w:hideMark/>
          </w:tcPr>
          <w:p w14:paraId="07B7D305"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32270CCE"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1F231833" w14:textId="77777777" w:rsidR="007A51F1" w:rsidRPr="007A51F1" w:rsidRDefault="007A51F1" w:rsidP="00D01A9D">
            <w:pPr>
              <w:spacing w:after="0" w:line="240" w:lineRule="auto"/>
              <w:rPr>
                <w:color w:val="000000"/>
              </w:rPr>
            </w:pPr>
            <w:r w:rsidRPr="007A51F1">
              <w:rPr>
                <w:color w:val="000000"/>
              </w:rPr>
              <w:t>.55</w:t>
            </w:r>
          </w:p>
        </w:tc>
        <w:tc>
          <w:tcPr>
            <w:tcW w:w="1683" w:type="dxa"/>
            <w:tcBorders>
              <w:top w:val="nil"/>
              <w:left w:val="nil"/>
              <w:bottom w:val="nil"/>
              <w:right w:val="nil"/>
            </w:tcBorders>
            <w:shd w:val="clear" w:color="auto" w:fill="auto"/>
            <w:noWrap/>
            <w:vAlign w:val="center"/>
            <w:hideMark/>
          </w:tcPr>
          <w:p w14:paraId="20641C72" w14:textId="77777777" w:rsidR="007A51F1" w:rsidRPr="007A51F1" w:rsidRDefault="007A51F1" w:rsidP="00D01A9D">
            <w:pPr>
              <w:spacing w:after="0" w:line="240" w:lineRule="auto"/>
              <w:rPr>
                <w:color w:val="000000"/>
              </w:rPr>
            </w:pPr>
            <w:r w:rsidRPr="007A51F1">
              <w:rPr>
                <w:color w:val="000000"/>
              </w:rPr>
              <w:t>.71</w:t>
            </w:r>
          </w:p>
        </w:tc>
      </w:tr>
      <w:tr w:rsidR="00EF3714" w:rsidRPr="007A51F1" w14:paraId="360FAF7E" w14:textId="77777777" w:rsidTr="00EF3714">
        <w:trPr>
          <w:trHeight w:val="318"/>
        </w:trPr>
        <w:tc>
          <w:tcPr>
            <w:tcW w:w="2120" w:type="dxa"/>
            <w:tcBorders>
              <w:top w:val="nil"/>
              <w:left w:val="nil"/>
              <w:bottom w:val="nil"/>
              <w:right w:val="nil"/>
            </w:tcBorders>
            <w:shd w:val="clear" w:color="auto" w:fill="auto"/>
            <w:noWrap/>
            <w:vAlign w:val="bottom"/>
            <w:hideMark/>
          </w:tcPr>
          <w:p w14:paraId="1B9D8483" w14:textId="77777777" w:rsidR="007A51F1" w:rsidRPr="007A51F1" w:rsidRDefault="007A51F1" w:rsidP="007A51F1">
            <w:pPr>
              <w:spacing w:after="0" w:line="240" w:lineRule="auto"/>
              <w:jc w:val="left"/>
              <w:rPr>
                <w:color w:val="000000"/>
              </w:rPr>
            </w:pPr>
            <w:r w:rsidRPr="007A51F1">
              <w:rPr>
                <w:color w:val="000000"/>
              </w:rPr>
              <w:t>Denmark</w:t>
            </w:r>
          </w:p>
        </w:tc>
        <w:tc>
          <w:tcPr>
            <w:tcW w:w="1395" w:type="dxa"/>
            <w:tcBorders>
              <w:top w:val="nil"/>
              <w:left w:val="nil"/>
              <w:bottom w:val="nil"/>
              <w:right w:val="nil"/>
            </w:tcBorders>
            <w:shd w:val="clear" w:color="auto" w:fill="auto"/>
            <w:noWrap/>
            <w:vAlign w:val="center"/>
            <w:hideMark/>
          </w:tcPr>
          <w:p w14:paraId="04F15548"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39616DC5" w14:textId="77777777" w:rsidR="007A51F1" w:rsidRPr="007A51F1" w:rsidRDefault="007A51F1" w:rsidP="00D01A9D">
            <w:pPr>
              <w:spacing w:after="0" w:line="240" w:lineRule="auto"/>
              <w:rPr>
                <w:color w:val="000000"/>
              </w:rPr>
            </w:pPr>
            <w:r w:rsidRPr="007A51F1">
              <w:rPr>
                <w:color w:val="000000"/>
              </w:rPr>
              <w:t>.83</w:t>
            </w:r>
          </w:p>
        </w:tc>
        <w:tc>
          <w:tcPr>
            <w:tcW w:w="1306" w:type="dxa"/>
            <w:tcBorders>
              <w:top w:val="nil"/>
              <w:left w:val="nil"/>
              <w:bottom w:val="nil"/>
              <w:right w:val="nil"/>
            </w:tcBorders>
            <w:shd w:val="clear" w:color="auto" w:fill="auto"/>
            <w:noWrap/>
            <w:vAlign w:val="center"/>
            <w:hideMark/>
          </w:tcPr>
          <w:p w14:paraId="69BCE466" w14:textId="77777777" w:rsidR="007A51F1" w:rsidRPr="007A51F1" w:rsidRDefault="007A51F1" w:rsidP="00D01A9D">
            <w:pPr>
              <w:spacing w:after="0" w:line="240" w:lineRule="auto"/>
              <w:rPr>
                <w:color w:val="000000"/>
              </w:rPr>
            </w:pPr>
            <w:r w:rsidRPr="007A51F1">
              <w:rPr>
                <w:color w:val="000000"/>
              </w:rPr>
              <w:t>.73</w:t>
            </w:r>
          </w:p>
        </w:tc>
        <w:tc>
          <w:tcPr>
            <w:tcW w:w="1306" w:type="dxa"/>
            <w:tcBorders>
              <w:top w:val="nil"/>
              <w:left w:val="nil"/>
              <w:bottom w:val="nil"/>
              <w:right w:val="nil"/>
            </w:tcBorders>
            <w:shd w:val="clear" w:color="auto" w:fill="auto"/>
            <w:noWrap/>
            <w:vAlign w:val="center"/>
            <w:hideMark/>
          </w:tcPr>
          <w:p w14:paraId="0E9301FD" w14:textId="77777777" w:rsidR="007A51F1" w:rsidRPr="007A51F1" w:rsidRDefault="007A51F1" w:rsidP="00D01A9D">
            <w:pPr>
              <w:spacing w:after="0" w:line="240" w:lineRule="auto"/>
              <w:rPr>
                <w:color w:val="000000"/>
              </w:rPr>
            </w:pPr>
            <w:r w:rsidRPr="007A51F1">
              <w:rPr>
                <w:color w:val="000000"/>
              </w:rPr>
              <w:t>.59</w:t>
            </w:r>
          </w:p>
        </w:tc>
        <w:tc>
          <w:tcPr>
            <w:tcW w:w="1683" w:type="dxa"/>
            <w:tcBorders>
              <w:top w:val="nil"/>
              <w:left w:val="nil"/>
              <w:bottom w:val="nil"/>
              <w:right w:val="nil"/>
            </w:tcBorders>
            <w:shd w:val="clear" w:color="auto" w:fill="auto"/>
            <w:noWrap/>
            <w:vAlign w:val="center"/>
            <w:hideMark/>
          </w:tcPr>
          <w:p w14:paraId="38BFEDB9" w14:textId="77777777" w:rsidR="007A51F1" w:rsidRPr="007A51F1" w:rsidRDefault="007A51F1" w:rsidP="00D01A9D">
            <w:pPr>
              <w:spacing w:after="0" w:line="240" w:lineRule="auto"/>
              <w:rPr>
                <w:color w:val="000000"/>
              </w:rPr>
            </w:pPr>
            <w:r w:rsidRPr="007A51F1">
              <w:rPr>
                <w:color w:val="000000"/>
              </w:rPr>
              <w:t>.73</w:t>
            </w:r>
          </w:p>
        </w:tc>
      </w:tr>
      <w:tr w:rsidR="00EF3714" w:rsidRPr="007A51F1" w14:paraId="0E2210DB" w14:textId="77777777" w:rsidTr="00EF3714">
        <w:trPr>
          <w:trHeight w:val="318"/>
        </w:trPr>
        <w:tc>
          <w:tcPr>
            <w:tcW w:w="2120" w:type="dxa"/>
            <w:tcBorders>
              <w:top w:val="nil"/>
              <w:left w:val="nil"/>
              <w:bottom w:val="nil"/>
              <w:right w:val="nil"/>
            </w:tcBorders>
            <w:shd w:val="clear" w:color="auto" w:fill="auto"/>
            <w:noWrap/>
            <w:vAlign w:val="bottom"/>
            <w:hideMark/>
          </w:tcPr>
          <w:p w14:paraId="12CC5416" w14:textId="77777777" w:rsidR="007A51F1" w:rsidRPr="007A51F1" w:rsidRDefault="007A51F1" w:rsidP="007A51F1">
            <w:pPr>
              <w:spacing w:after="0" w:line="240" w:lineRule="auto"/>
              <w:jc w:val="left"/>
              <w:rPr>
                <w:color w:val="000000"/>
              </w:rPr>
            </w:pPr>
            <w:r w:rsidRPr="007A51F1">
              <w:rPr>
                <w:color w:val="000000"/>
              </w:rPr>
              <w:t>Estonia</w:t>
            </w:r>
          </w:p>
        </w:tc>
        <w:tc>
          <w:tcPr>
            <w:tcW w:w="1395" w:type="dxa"/>
            <w:tcBorders>
              <w:top w:val="nil"/>
              <w:left w:val="nil"/>
              <w:bottom w:val="nil"/>
              <w:right w:val="nil"/>
            </w:tcBorders>
            <w:shd w:val="clear" w:color="auto" w:fill="auto"/>
            <w:noWrap/>
            <w:vAlign w:val="center"/>
            <w:hideMark/>
          </w:tcPr>
          <w:p w14:paraId="43C28544" w14:textId="77777777" w:rsidR="007A51F1" w:rsidRPr="007A51F1" w:rsidRDefault="007A51F1" w:rsidP="00D01A9D">
            <w:pPr>
              <w:spacing w:after="0" w:line="240" w:lineRule="auto"/>
              <w:rPr>
                <w:color w:val="000000"/>
              </w:rPr>
            </w:pPr>
            <w:r w:rsidRPr="007A51F1">
              <w:rPr>
                <w:color w:val="000000"/>
              </w:rPr>
              <w:t>.83</w:t>
            </w:r>
          </w:p>
        </w:tc>
        <w:tc>
          <w:tcPr>
            <w:tcW w:w="1306" w:type="dxa"/>
            <w:tcBorders>
              <w:top w:val="nil"/>
              <w:left w:val="nil"/>
              <w:bottom w:val="nil"/>
              <w:right w:val="nil"/>
            </w:tcBorders>
            <w:shd w:val="clear" w:color="auto" w:fill="auto"/>
            <w:noWrap/>
            <w:vAlign w:val="center"/>
            <w:hideMark/>
          </w:tcPr>
          <w:p w14:paraId="187F612A"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69BF4B77" w14:textId="77777777" w:rsidR="007A51F1" w:rsidRPr="007A51F1" w:rsidRDefault="007A51F1" w:rsidP="00D01A9D">
            <w:pPr>
              <w:spacing w:after="0" w:line="240" w:lineRule="auto"/>
              <w:rPr>
                <w:color w:val="000000"/>
              </w:rPr>
            </w:pPr>
            <w:r w:rsidRPr="007A51F1">
              <w:rPr>
                <w:color w:val="000000"/>
              </w:rPr>
              <w:t>.61</w:t>
            </w:r>
          </w:p>
        </w:tc>
        <w:tc>
          <w:tcPr>
            <w:tcW w:w="1306" w:type="dxa"/>
            <w:tcBorders>
              <w:top w:val="nil"/>
              <w:left w:val="nil"/>
              <w:bottom w:val="nil"/>
              <w:right w:val="nil"/>
            </w:tcBorders>
            <w:shd w:val="clear" w:color="auto" w:fill="auto"/>
            <w:noWrap/>
            <w:vAlign w:val="center"/>
            <w:hideMark/>
          </w:tcPr>
          <w:p w14:paraId="6ABF11CF" w14:textId="77777777" w:rsidR="007A51F1" w:rsidRPr="007A51F1" w:rsidRDefault="007A51F1" w:rsidP="00D01A9D">
            <w:pPr>
              <w:spacing w:after="0" w:line="240" w:lineRule="auto"/>
              <w:rPr>
                <w:color w:val="000000"/>
              </w:rPr>
            </w:pPr>
            <w:r w:rsidRPr="007A51F1">
              <w:rPr>
                <w:color w:val="000000"/>
              </w:rPr>
              <w:t>.48</w:t>
            </w:r>
          </w:p>
        </w:tc>
        <w:tc>
          <w:tcPr>
            <w:tcW w:w="1683" w:type="dxa"/>
            <w:tcBorders>
              <w:top w:val="nil"/>
              <w:left w:val="nil"/>
              <w:bottom w:val="nil"/>
              <w:right w:val="nil"/>
            </w:tcBorders>
            <w:shd w:val="clear" w:color="auto" w:fill="auto"/>
            <w:noWrap/>
            <w:vAlign w:val="center"/>
            <w:hideMark/>
          </w:tcPr>
          <w:p w14:paraId="3F1B1C86" w14:textId="77777777" w:rsidR="007A51F1" w:rsidRPr="007A51F1" w:rsidRDefault="007A51F1" w:rsidP="00D01A9D">
            <w:pPr>
              <w:spacing w:after="0" w:line="240" w:lineRule="auto"/>
              <w:rPr>
                <w:color w:val="000000"/>
              </w:rPr>
            </w:pPr>
            <w:r w:rsidRPr="007A51F1">
              <w:rPr>
                <w:color w:val="000000"/>
              </w:rPr>
              <w:t>.65</w:t>
            </w:r>
          </w:p>
        </w:tc>
      </w:tr>
      <w:tr w:rsidR="00EF3714" w:rsidRPr="007A51F1" w14:paraId="48D19270" w14:textId="77777777" w:rsidTr="00EF3714">
        <w:trPr>
          <w:trHeight w:val="318"/>
        </w:trPr>
        <w:tc>
          <w:tcPr>
            <w:tcW w:w="2120" w:type="dxa"/>
            <w:tcBorders>
              <w:top w:val="nil"/>
              <w:left w:val="nil"/>
              <w:bottom w:val="nil"/>
              <w:right w:val="nil"/>
            </w:tcBorders>
            <w:shd w:val="clear" w:color="auto" w:fill="auto"/>
            <w:noWrap/>
            <w:vAlign w:val="bottom"/>
            <w:hideMark/>
          </w:tcPr>
          <w:p w14:paraId="4BED62AC" w14:textId="77777777" w:rsidR="007A51F1" w:rsidRPr="007A51F1" w:rsidRDefault="007A51F1" w:rsidP="007A51F1">
            <w:pPr>
              <w:spacing w:after="0" w:line="240" w:lineRule="auto"/>
              <w:jc w:val="left"/>
              <w:rPr>
                <w:color w:val="000000"/>
              </w:rPr>
            </w:pPr>
            <w:r w:rsidRPr="007A51F1">
              <w:rPr>
                <w:color w:val="000000"/>
              </w:rPr>
              <w:t>France</w:t>
            </w:r>
          </w:p>
        </w:tc>
        <w:tc>
          <w:tcPr>
            <w:tcW w:w="1395" w:type="dxa"/>
            <w:tcBorders>
              <w:top w:val="nil"/>
              <w:left w:val="nil"/>
              <w:bottom w:val="nil"/>
              <w:right w:val="nil"/>
            </w:tcBorders>
            <w:shd w:val="clear" w:color="auto" w:fill="auto"/>
            <w:noWrap/>
            <w:vAlign w:val="center"/>
            <w:hideMark/>
          </w:tcPr>
          <w:p w14:paraId="6CEF3467"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2FBA3E0B"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16EAF1C2"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4E495713" w14:textId="77777777" w:rsidR="007A51F1" w:rsidRPr="007A51F1" w:rsidRDefault="007A51F1" w:rsidP="00D01A9D">
            <w:pPr>
              <w:spacing w:after="0" w:line="240" w:lineRule="auto"/>
              <w:rPr>
                <w:color w:val="000000"/>
              </w:rPr>
            </w:pPr>
            <w:r w:rsidRPr="007A51F1">
              <w:rPr>
                <w:color w:val="000000"/>
              </w:rPr>
              <w:t>.53</w:t>
            </w:r>
          </w:p>
        </w:tc>
        <w:tc>
          <w:tcPr>
            <w:tcW w:w="1683" w:type="dxa"/>
            <w:tcBorders>
              <w:top w:val="nil"/>
              <w:left w:val="nil"/>
              <w:bottom w:val="nil"/>
              <w:right w:val="nil"/>
            </w:tcBorders>
            <w:shd w:val="clear" w:color="auto" w:fill="auto"/>
            <w:noWrap/>
            <w:vAlign w:val="center"/>
            <w:hideMark/>
          </w:tcPr>
          <w:p w14:paraId="6E9E4532" w14:textId="77777777" w:rsidR="007A51F1" w:rsidRPr="007A51F1" w:rsidRDefault="007A51F1" w:rsidP="00D01A9D">
            <w:pPr>
              <w:spacing w:after="0" w:line="240" w:lineRule="auto"/>
              <w:rPr>
                <w:color w:val="000000"/>
              </w:rPr>
            </w:pPr>
            <w:r w:rsidRPr="007A51F1">
              <w:rPr>
                <w:color w:val="000000"/>
              </w:rPr>
              <w:t>.70</w:t>
            </w:r>
          </w:p>
        </w:tc>
      </w:tr>
      <w:tr w:rsidR="00EF3714" w:rsidRPr="007A51F1" w14:paraId="40E1A3F7" w14:textId="77777777" w:rsidTr="00EF3714">
        <w:trPr>
          <w:trHeight w:val="318"/>
        </w:trPr>
        <w:tc>
          <w:tcPr>
            <w:tcW w:w="2120" w:type="dxa"/>
            <w:tcBorders>
              <w:top w:val="nil"/>
              <w:left w:val="nil"/>
              <w:bottom w:val="nil"/>
              <w:right w:val="nil"/>
            </w:tcBorders>
            <w:shd w:val="clear" w:color="auto" w:fill="auto"/>
            <w:noWrap/>
            <w:vAlign w:val="bottom"/>
            <w:hideMark/>
          </w:tcPr>
          <w:p w14:paraId="2AEBB585" w14:textId="77777777" w:rsidR="007A51F1" w:rsidRPr="007A51F1" w:rsidRDefault="007A51F1" w:rsidP="007A51F1">
            <w:pPr>
              <w:spacing w:after="0" w:line="240" w:lineRule="auto"/>
              <w:jc w:val="left"/>
              <w:rPr>
                <w:color w:val="000000"/>
              </w:rPr>
            </w:pPr>
            <w:r w:rsidRPr="007A51F1">
              <w:rPr>
                <w:color w:val="000000"/>
              </w:rPr>
              <w:t>Georgia</w:t>
            </w:r>
          </w:p>
        </w:tc>
        <w:tc>
          <w:tcPr>
            <w:tcW w:w="1395" w:type="dxa"/>
            <w:tcBorders>
              <w:top w:val="nil"/>
              <w:left w:val="nil"/>
              <w:bottom w:val="nil"/>
              <w:right w:val="nil"/>
            </w:tcBorders>
            <w:shd w:val="clear" w:color="auto" w:fill="auto"/>
            <w:noWrap/>
            <w:vAlign w:val="center"/>
            <w:hideMark/>
          </w:tcPr>
          <w:p w14:paraId="2F9F7932" w14:textId="77777777" w:rsidR="007A51F1" w:rsidRPr="007A51F1" w:rsidRDefault="007A51F1" w:rsidP="00D01A9D">
            <w:pPr>
              <w:spacing w:after="0" w:line="240" w:lineRule="auto"/>
              <w:rPr>
                <w:color w:val="000000"/>
              </w:rPr>
            </w:pPr>
            <w:r w:rsidRPr="007A51F1">
              <w:rPr>
                <w:color w:val="000000"/>
              </w:rPr>
              <w:t>.72</w:t>
            </w:r>
          </w:p>
        </w:tc>
        <w:tc>
          <w:tcPr>
            <w:tcW w:w="1306" w:type="dxa"/>
            <w:tcBorders>
              <w:top w:val="nil"/>
              <w:left w:val="nil"/>
              <w:bottom w:val="nil"/>
              <w:right w:val="nil"/>
            </w:tcBorders>
            <w:shd w:val="clear" w:color="auto" w:fill="auto"/>
            <w:noWrap/>
            <w:vAlign w:val="center"/>
            <w:hideMark/>
          </w:tcPr>
          <w:p w14:paraId="13F950C1"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5E9BAA91" w14:textId="77777777" w:rsidR="007A51F1" w:rsidRPr="007A51F1" w:rsidRDefault="007A51F1" w:rsidP="00D01A9D">
            <w:pPr>
              <w:spacing w:after="0" w:line="240" w:lineRule="auto"/>
              <w:rPr>
                <w:color w:val="000000"/>
              </w:rPr>
            </w:pPr>
            <w:r w:rsidRPr="007A51F1">
              <w:rPr>
                <w:color w:val="000000"/>
              </w:rPr>
              <w:t>.41</w:t>
            </w:r>
          </w:p>
        </w:tc>
        <w:tc>
          <w:tcPr>
            <w:tcW w:w="1306" w:type="dxa"/>
            <w:tcBorders>
              <w:top w:val="nil"/>
              <w:left w:val="nil"/>
              <w:bottom w:val="nil"/>
              <w:right w:val="nil"/>
            </w:tcBorders>
            <w:shd w:val="clear" w:color="auto" w:fill="auto"/>
            <w:noWrap/>
            <w:vAlign w:val="center"/>
            <w:hideMark/>
          </w:tcPr>
          <w:p w14:paraId="14EB6E32" w14:textId="77777777" w:rsidR="007A51F1" w:rsidRPr="007A51F1" w:rsidRDefault="007A51F1" w:rsidP="00D01A9D">
            <w:pPr>
              <w:spacing w:after="0" w:line="240" w:lineRule="auto"/>
              <w:rPr>
                <w:color w:val="000000"/>
              </w:rPr>
            </w:pPr>
            <w:r w:rsidRPr="007A51F1">
              <w:rPr>
                <w:color w:val="000000"/>
              </w:rPr>
              <w:t>.25</w:t>
            </w:r>
          </w:p>
        </w:tc>
        <w:tc>
          <w:tcPr>
            <w:tcW w:w="1683" w:type="dxa"/>
            <w:tcBorders>
              <w:top w:val="nil"/>
              <w:left w:val="nil"/>
              <w:bottom w:val="nil"/>
              <w:right w:val="nil"/>
            </w:tcBorders>
            <w:shd w:val="clear" w:color="auto" w:fill="auto"/>
            <w:noWrap/>
            <w:vAlign w:val="center"/>
            <w:hideMark/>
          </w:tcPr>
          <w:p w14:paraId="26EF2EC3" w14:textId="77777777" w:rsidR="007A51F1" w:rsidRPr="007A51F1" w:rsidRDefault="007A51F1" w:rsidP="00D01A9D">
            <w:pPr>
              <w:spacing w:after="0" w:line="240" w:lineRule="auto"/>
              <w:rPr>
                <w:color w:val="000000"/>
              </w:rPr>
            </w:pPr>
            <w:r w:rsidRPr="007A51F1">
              <w:rPr>
                <w:color w:val="000000"/>
              </w:rPr>
              <w:t>.53</w:t>
            </w:r>
          </w:p>
        </w:tc>
      </w:tr>
      <w:tr w:rsidR="00EF3714" w:rsidRPr="007A51F1" w14:paraId="6262595B" w14:textId="77777777" w:rsidTr="00EF3714">
        <w:trPr>
          <w:trHeight w:val="318"/>
        </w:trPr>
        <w:tc>
          <w:tcPr>
            <w:tcW w:w="2120" w:type="dxa"/>
            <w:tcBorders>
              <w:top w:val="nil"/>
              <w:left w:val="nil"/>
              <w:bottom w:val="nil"/>
              <w:right w:val="nil"/>
            </w:tcBorders>
            <w:shd w:val="clear" w:color="auto" w:fill="auto"/>
            <w:noWrap/>
            <w:vAlign w:val="bottom"/>
            <w:hideMark/>
          </w:tcPr>
          <w:p w14:paraId="2B5C0C41" w14:textId="77777777" w:rsidR="007A51F1" w:rsidRPr="007A51F1" w:rsidRDefault="007A51F1" w:rsidP="007A51F1">
            <w:pPr>
              <w:spacing w:after="0" w:line="240" w:lineRule="auto"/>
              <w:jc w:val="left"/>
              <w:rPr>
                <w:color w:val="000000"/>
              </w:rPr>
            </w:pPr>
            <w:r w:rsidRPr="007A51F1">
              <w:rPr>
                <w:color w:val="000000"/>
              </w:rPr>
              <w:t>Germany</w:t>
            </w:r>
          </w:p>
        </w:tc>
        <w:tc>
          <w:tcPr>
            <w:tcW w:w="1395" w:type="dxa"/>
            <w:tcBorders>
              <w:top w:val="nil"/>
              <w:left w:val="nil"/>
              <w:bottom w:val="nil"/>
              <w:right w:val="nil"/>
            </w:tcBorders>
            <w:shd w:val="clear" w:color="auto" w:fill="auto"/>
            <w:noWrap/>
            <w:vAlign w:val="center"/>
            <w:hideMark/>
          </w:tcPr>
          <w:p w14:paraId="054EE512" w14:textId="77777777" w:rsidR="007A51F1" w:rsidRPr="007A51F1" w:rsidRDefault="007A51F1" w:rsidP="00D01A9D">
            <w:pPr>
              <w:spacing w:after="0" w:line="240" w:lineRule="auto"/>
              <w:rPr>
                <w:color w:val="000000"/>
              </w:rPr>
            </w:pPr>
            <w:r w:rsidRPr="007A51F1">
              <w:rPr>
                <w:color w:val="000000"/>
              </w:rPr>
              <w:t>.83</w:t>
            </w:r>
          </w:p>
        </w:tc>
        <w:tc>
          <w:tcPr>
            <w:tcW w:w="1306" w:type="dxa"/>
            <w:tcBorders>
              <w:top w:val="nil"/>
              <w:left w:val="nil"/>
              <w:bottom w:val="nil"/>
              <w:right w:val="nil"/>
            </w:tcBorders>
            <w:shd w:val="clear" w:color="auto" w:fill="auto"/>
            <w:noWrap/>
            <w:vAlign w:val="center"/>
            <w:hideMark/>
          </w:tcPr>
          <w:p w14:paraId="3EB693A5"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7D4AEBF1" w14:textId="77777777" w:rsidR="007A51F1" w:rsidRPr="007A51F1" w:rsidRDefault="007A51F1" w:rsidP="00D01A9D">
            <w:pPr>
              <w:spacing w:after="0" w:line="240" w:lineRule="auto"/>
              <w:rPr>
                <w:color w:val="000000"/>
              </w:rPr>
            </w:pPr>
            <w:r w:rsidRPr="007A51F1">
              <w:rPr>
                <w:color w:val="000000"/>
              </w:rPr>
              <w:t>.68</w:t>
            </w:r>
          </w:p>
        </w:tc>
        <w:tc>
          <w:tcPr>
            <w:tcW w:w="1306" w:type="dxa"/>
            <w:tcBorders>
              <w:top w:val="nil"/>
              <w:left w:val="nil"/>
              <w:bottom w:val="nil"/>
              <w:right w:val="nil"/>
            </w:tcBorders>
            <w:shd w:val="clear" w:color="auto" w:fill="auto"/>
            <w:noWrap/>
            <w:vAlign w:val="center"/>
            <w:hideMark/>
          </w:tcPr>
          <w:p w14:paraId="3E4A75EF" w14:textId="77777777" w:rsidR="007A51F1" w:rsidRPr="007A51F1" w:rsidRDefault="007A51F1" w:rsidP="00D01A9D">
            <w:pPr>
              <w:spacing w:after="0" w:line="240" w:lineRule="auto"/>
              <w:rPr>
                <w:color w:val="000000"/>
              </w:rPr>
            </w:pPr>
            <w:r w:rsidRPr="007A51F1">
              <w:rPr>
                <w:color w:val="000000"/>
              </w:rPr>
              <w:t>.60</w:t>
            </w:r>
          </w:p>
        </w:tc>
        <w:tc>
          <w:tcPr>
            <w:tcW w:w="1683" w:type="dxa"/>
            <w:tcBorders>
              <w:top w:val="nil"/>
              <w:left w:val="nil"/>
              <w:bottom w:val="nil"/>
              <w:right w:val="nil"/>
            </w:tcBorders>
            <w:shd w:val="clear" w:color="auto" w:fill="auto"/>
            <w:noWrap/>
            <w:vAlign w:val="center"/>
            <w:hideMark/>
          </w:tcPr>
          <w:p w14:paraId="499B358E" w14:textId="77777777" w:rsidR="007A51F1" w:rsidRPr="007A51F1" w:rsidRDefault="007A51F1" w:rsidP="00D01A9D">
            <w:pPr>
              <w:spacing w:after="0" w:line="240" w:lineRule="auto"/>
              <w:rPr>
                <w:color w:val="000000"/>
              </w:rPr>
            </w:pPr>
            <w:r w:rsidRPr="007A51F1">
              <w:rPr>
                <w:color w:val="000000"/>
              </w:rPr>
              <w:t>.72</w:t>
            </w:r>
          </w:p>
        </w:tc>
      </w:tr>
      <w:tr w:rsidR="00EF3714" w:rsidRPr="007A51F1" w14:paraId="797927A6" w14:textId="77777777" w:rsidTr="00EF3714">
        <w:trPr>
          <w:trHeight w:val="318"/>
        </w:trPr>
        <w:tc>
          <w:tcPr>
            <w:tcW w:w="2120" w:type="dxa"/>
            <w:tcBorders>
              <w:top w:val="nil"/>
              <w:left w:val="nil"/>
              <w:bottom w:val="nil"/>
              <w:right w:val="nil"/>
            </w:tcBorders>
            <w:shd w:val="clear" w:color="auto" w:fill="auto"/>
            <w:noWrap/>
            <w:vAlign w:val="bottom"/>
            <w:hideMark/>
          </w:tcPr>
          <w:p w14:paraId="720AF0EA" w14:textId="77777777" w:rsidR="007A51F1" w:rsidRPr="007A51F1" w:rsidRDefault="007A51F1" w:rsidP="007A51F1">
            <w:pPr>
              <w:spacing w:after="0" w:line="240" w:lineRule="auto"/>
              <w:jc w:val="left"/>
              <w:rPr>
                <w:color w:val="000000"/>
              </w:rPr>
            </w:pPr>
            <w:r w:rsidRPr="007A51F1">
              <w:rPr>
                <w:color w:val="000000"/>
              </w:rPr>
              <w:t>Greece</w:t>
            </w:r>
          </w:p>
        </w:tc>
        <w:tc>
          <w:tcPr>
            <w:tcW w:w="1395" w:type="dxa"/>
            <w:tcBorders>
              <w:top w:val="nil"/>
              <w:left w:val="nil"/>
              <w:bottom w:val="nil"/>
              <w:right w:val="nil"/>
            </w:tcBorders>
            <w:shd w:val="clear" w:color="auto" w:fill="auto"/>
            <w:noWrap/>
            <w:vAlign w:val="center"/>
            <w:hideMark/>
          </w:tcPr>
          <w:p w14:paraId="28C940B0"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4BC36732"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225AB90A" w14:textId="77777777" w:rsidR="007A51F1" w:rsidRPr="007A51F1" w:rsidRDefault="007A51F1" w:rsidP="00D01A9D">
            <w:pPr>
              <w:spacing w:after="0" w:line="240" w:lineRule="auto"/>
              <w:rPr>
                <w:color w:val="000000"/>
              </w:rPr>
            </w:pPr>
            <w:r w:rsidRPr="007A51F1">
              <w:rPr>
                <w:color w:val="000000"/>
              </w:rPr>
              <w:t>.65</w:t>
            </w:r>
          </w:p>
        </w:tc>
        <w:tc>
          <w:tcPr>
            <w:tcW w:w="1306" w:type="dxa"/>
            <w:tcBorders>
              <w:top w:val="nil"/>
              <w:left w:val="nil"/>
              <w:bottom w:val="nil"/>
              <w:right w:val="nil"/>
            </w:tcBorders>
            <w:shd w:val="clear" w:color="auto" w:fill="auto"/>
            <w:noWrap/>
            <w:vAlign w:val="center"/>
            <w:hideMark/>
          </w:tcPr>
          <w:p w14:paraId="0D79803D" w14:textId="77777777" w:rsidR="007A51F1" w:rsidRPr="007A51F1" w:rsidRDefault="007A51F1" w:rsidP="00D01A9D">
            <w:pPr>
              <w:spacing w:after="0" w:line="240" w:lineRule="auto"/>
              <w:rPr>
                <w:color w:val="000000"/>
              </w:rPr>
            </w:pPr>
            <w:r w:rsidRPr="007A51F1">
              <w:rPr>
                <w:color w:val="000000"/>
              </w:rPr>
              <w:t>.34</w:t>
            </w:r>
          </w:p>
        </w:tc>
        <w:tc>
          <w:tcPr>
            <w:tcW w:w="1683" w:type="dxa"/>
            <w:tcBorders>
              <w:top w:val="nil"/>
              <w:left w:val="nil"/>
              <w:bottom w:val="nil"/>
              <w:right w:val="nil"/>
            </w:tcBorders>
            <w:shd w:val="clear" w:color="auto" w:fill="auto"/>
            <w:noWrap/>
            <w:vAlign w:val="center"/>
            <w:hideMark/>
          </w:tcPr>
          <w:p w14:paraId="09396234" w14:textId="77777777" w:rsidR="007A51F1" w:rsidRPr="007A51F1" w:rsidRDefault="007A51F1" w:rsidP="00D01A9D">
            <w:pPr>
              <w:spacing w:after="0" w:line="240" w:lineRule="auto"/>
              <w:rPr>
                <w:color w:val="000000"/>
              </w:rPr>
            </w:pPr>
            <w:r w:rsidRPr="007A51F1">
              <w:rPr>
                <w:color w:val="000000"/>
              </w:rPr>
              <w:t>.60</w:t>
            </w:r>
          </w:p>
        </w:tc>
      </w:tr>
      <w:tr w:rsidR="00EF3714" w:rsidRPr="007A51F1" w14:paraId="12509E4C" w14:textId="77777777" w:rsidTr="00EF3714">
        <w:trPr>
          <w:trHeight w:val="318"/>
        </w:trPr>
        <w:tc>
          <w:tcPr>
            <w:tcW w:w="2120" w:type="dxa"/>
            <w:tcBorders>
              <w:top w:val="nil"/>
              <w:left w:val="nil"/>
              <w:bottom w:val="nil"/>
              <w:right w:val="nil"/>
            </w:tcBorders>
            <w:shd w:val="clear" w:color="auto" w:fill="auto"/>
            <w:noWrap/>
            <w:vAlign w:val="bottom"/>
            <w:hideMark/>
          </w:tcPr>
          <w:p w14:paraId="37F30570" w14:textId="77777777" w:rsidR="007A51F1" w:rsidRPr="007A51F1" w:rsidRDefault="007A51F1" w:rsidP="007A51F1">
            <w:pPr>
              <w:spacing w:after="0" w:line="240" w:lineRule="auto"/>
              <w:jc w:val="left"/>
              <w:rPr>
                <w:color w:val="000000"/>
              </w:rPr>
            </w:pPr>
            <w:r w:rsidRPr="007A51F1">
              <w:rPr>
                <w:color w:val="000000"/>
              </w:rPr>
              <w:t>Hong Kong</w:t>
            </w:r>
          </w:p>
        </w:tc>
        <w:tc>
          <w:tcPr>
            <w:tcW w:w="1395" w:type="dxa"/>
            <w:tcBorders>
              <w:top w:val="nil"/>
              <w:left w:val="nil"/>
              <w:bottom w:val="nil"/>
              <w:right w:val="nil"/>
            </w:tcBorders>
            <w:shd w:val="clear" w:color="auto" w:fill="auto"/>
            <w:noWrap/>
            <w:vAlign w:val="center"/>
            <w:hideMark/>
          </w:tcPr>
          <w:p w14:paraId="01247687" w14:textId="77777777" w:rsidR="007A51F1" w:rsidRPr="007A51F1" w:rsidRDefault="007A51F1" w:rsidP="00D01A9D">
            <w:pPr>
              <w:spacing w:after="0" w:line="240" w:lineRule="auto"/>
              <w:rPr>
                <w:color w:val="000000"/>
              </w:rPr>
            </w:pPr>
            <w:r w:rsidRPr="007A51F1">
              <w:rPr>
                <w:color w:val="000000"/>
              </w:rPr>
              <w:t>.82</w:t>
            </w:r>
          </w:p>
        </w:tc>
        <w:tc>
          <w:tcPr>
            <w:tcW w:w="1306" w:type="dxa"/>
            <w:tcBorders>
              <w:top w:val="nil"/>
              <w:left w:val="nil"/>
              <w:bottom w:val="nil"/>
              <w:right w:val="nil"/>
            </w:tcBorders>
            <w:shd w:val="clear" w:color="auto" w:fill="auto"/>
            <w:noWrap/>
            <w:vAlign w:val="center"/>
            <w:hideMark/>
          </w:tcPr>
          <w:p w14:paraId="6EE3CE8A"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34777880" w14:textId="77777777" w:rsidR="007A51F1" w:rsidRPr="007A51F1" w:rsidRDefault="007A51F1" w:rsidP="00D01A9D">
            <w:pPr>
              <w:spacing w:after="0" w:line="240" w:lineRule="auto"/>
              <w:rPr>
                <w:color w:val="000000"/>
              </w:rPr>
            </w:pPr>
            <w:r w:rsidRPr="007A51F1">
              <w:rPr>
                <w:color w:val="000000"/>
              </w:rPr>
              <w:t>.44</w:t>
            </w:r>
          </w:p>
        </w:tc>
        <w:tc>
          <w:tcPr>
            <w:tcW w:w="1306" w:type="dxa"/>
            <w:tcBorders>
              <w:top w:val="nil"/>
              <w:left w:val="nil"/>
              <w:bottom w:val="nil"/>
              <w:right w:val="nil"/>
            </w:tcBorders>
            <w:shd w:val="clear" w:color="auto" w:fill="auto"/>
            <w:noWrap/>
            <w:vAlign w:val="center"/>
            <w:hideMark/>
          </w:tcPr>
          <w:p w14:paraId="665688F6" w14:textId="77777777" w:rsidR="007A51F1" w:rsidRPr="007A51F1" w:rsidRDefault="007A51F1" w:rsidP="00D01A9D">
            <w:pPr>
              <w:spacing w:after="0" w:line="240" w:lineRule="auto"/>
              <w:rPr>
                <w:color w:val="000000"/>
              </w:rPr>
            </w:pPr>
            <w:r w:rsidRPr="007A51F1">
              <w:rPr>
                <w:color w:val="000000"/>
              </w:rPr>
              <w:t>.20</w:t>
            </w:r>
          </w:p>
        </w:tc>
        <w:tc>
          <w:tcPr>
            <w:tcW w:w="1683" w:type="dxa"/>
            <w:tcBorders>
              <w:top w:val="nil"/>
              <w:left w:val="nil"/>
              <w:bottom w:val="nil"/>
              <w:right w:val="nil"/>
            </w:tcBorders>
            <w:shd w:val="clear" w:color="auto" w:fill="auto"/>
            <w:noWrap/>
            <w:vAlign w:val="center"/>
            <w:hideMark/>
          </w:tcPr>
          <w:p w14:paraId="20D123A1" w14:textId="77777777" w:rsidR="007A51F1" w:rsidRPr="007A51F1" w:rsidRDefault="007A51F1" w:rsidP="00D01A9D">
            <w:pPr>
              <w:spacing w:after="0" w:line="240" w:lineRule="auto"/>
              <w:rPr>
                <w:color w:val="000000"/>
              </w:rPr>
            </w:pPr>
            <w:r w:rsidRPr="007A51F1">
              <w:rPr>
                <w:color w:val="000000"/>
              </w:rPr>
              <w:t>.56</w:t>
            </w:r>
          </w:p>
        </w:tc>
      </w:tr>
      <w:tr w:rsidR="00EF3714" w:rsidRPr="007A51F1" w14:paraId="65BA12D4" w14:textId="77777777" w:rsidTr="00EF3714">
        <w:trPr>
          <w:trHeight w:val="318"/>
        </w:trPr>
        <w:tc>
          <w:tcPr>
            <w:tcW w:w="2120" w:type="dxa"/>
            <w:tcBorders>
              <w:top w:val="nil"/>
              <w:left w:val="nil"/>
              <w:bottom w:val="nil"/>
              <w:right w:val="nil"/>
            </w:tcBorders>
            <w:shd w:val="clear" w:color="auto" w:fill="auto"/>
            <w:noWrap/>
            <w:vAlign w:val="bottom"/>
            <w:hideMark/>
          </w:tcPr>
          <w:p w14:paraId="39D59609" w14:textId="77777777" w:rsidR="007A51F1" w:rsidRPr="007A51F1" w:rsidRDefault="007A51F1" w:rsidP="007A51F1">
            <w:pPr>
              <w:spacing w:after="0" w:line="240" w:lineRule="auto"/>
              <w:jc w:val="left"/>
              <w:rPr>
                <w:color w:val="000000"/>
              </w:rPr>
            </w:pPr>
            <w:r w:rsidRPr="007A51F1">
              <w:rPr>
                <w:color w:val="000000"/>
              </w:rPr>
              <w:t>Hungary</w:t>
            </w:r>
          </w:p>
        </w:tc>
        <w:tc>
          <w:tcPr>
            <w:tcW w:w="1395" w:type="dxa"/>
            <w:tcBorders>
              <w:top w:val="nil"/>
              <w:left w:val="nil"/>
              <w:bottom w:val="nil"/>
              <w:right w:val="nil"/>
            </w:tcBorders>
            <w:shd w:val="clear" w:color="auto" w:fill="auto"/>
            <w:noWrap/>
            <w:vAlign w:val="center"/>
            <w:hideMark/>
          </w:tcPr>
          <w:p w14:paraId="51E9BB99" w14:textId="77777777" w:rsidR="007A51F1" w:rsidRPr="007A51F1" w:rsidRDefault="007A51F1" w:rsidP="00D01A9D">
            <w:pPr>
              <w:spacing w:after="0" w:line="240" w:lineRule="auto"/>
              <w:rPr>
                <w:color w:val="000000"/>
              </w:rPr>
            </w:pPr>
            <w:r w:rsidRPr="007A51F1">
              <w:rPr>
                <w:color w:val="000000"/>
              </w:rPr>
              <w:t>.66</w:t>
            </w:r>
          </w:p>
        </w:tc>
        <w:tc>
          <w:tcPr>
            <w:tcW w:w="1306" w:type="dxa"/>
            <w:tcBorders>
              <w:top w:val="nil"/>
              <w:left w:val="nil"/>
              <w:bottom w:val="nil"/>
              <w:right w:val="nil"/>
            </w:tcBorders>
            <w:shd w:val="clear" w:color="auto" w:fill="auto"/>
            <w:noWrap/>
            <w:vAlign w:val="center"/>
            <w:hideMark/>
          </w:tcPr>
          <w:p w14:paraId="0ECEBEBE"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2C78308D" w14:textId="77777777" w:rsidR="007A51F1" w:rsidRPr="007A51F1" w:rsidRDefault="007A51F1" w:rsidP="00D01A9D">
            <w:pPr>
              <w:spacing w:after="0" w:line="240" w:lineRule="auto"/>
              <w:rPr>
                <w:color w:val="000000"/>
              </w:rPr>
            </w:pPr>
            <w:r w:rsidRPr="007A51F1">
              <w:rPr>
                <w:color w:val="000000"/>
              </w:rPr>
              <w:t>.59</w:t>
            </w:r>
          </w:p>
        </w:tc>
        <w:tc>
          <w:tcPr>
            <w:tcW w:w="1306" w:type="dxa"/>
            <w:tcBorders>
              <w:top w:val="nil"/>
              <w:left w:val="nil"/>
              <w:bottom w:val="nil"/>
              <w:right w:val="nil"/>
            </w:tcBorders>
            <w:shd w:val="clear" w:color="auto" w:fill="auto"/>
            <w:noWrap/>
            <w:vAlign w:val="center"/>
            <w:hideMark/>
          </w:tcPr>
          <w:p w14:paraId="19EB6D89" w14:textId="77777777" w:rsidR="007A51F1" w:rsidRPr="007A51F1" w:rsidRDefault="007A51F1" w:rsidP="00D01A9D">
            <w:pPr>
              <w:spacing w:after="0" w:line="240" w:lineRule="auto"/>
              <w:rPr>
                <w:color w:val="000000"/>
              </w:rPr>
            </w:pPr>
            <w:r w:rsidRPr="007A51F1">
              <w:rPr>
                <w:color w:val="000000"/>
              </w:rPr>
              <w:t>.50</w:t>
            </w:r>
          </w:p>
        </w:tc>
        <w:tc>
          <w:tcPr>
            <w:tcW w:w="1683" w:type="dxa"/>
            <w:tcBorders>
              <w:top w:val="nil"/>
              <w:left w:val="nil"/>
              <w:bottom w:val="nil"/>
              <w:right w:val="nil"/>
            </w:tcBorders>
            <w:shd w:val="clear" w:color="auto" w:fill="auto"/>
            <w:noWrap/>
            <w:vAlign w:val="center"/>
            <w:hideMark/>
          </w:tcPr>
          <w:p w14:paraId="77D5F237" w14:textId="77777777" w:rsidR="007A51F1" w:rsidRPr="007A51F1" w:rsidRDefault="007A51F1" w:rsidP="00D01A9D">
            <w:pPr>
              <w:spacing w:after="0" w:line="240" w:lineRule="auto"/>
              <w:rPr>
                <w:color w:val="000000"/>
              </w:rPr>
            </w:pPr>
            <w:r w:rsidRPr="007A51F1">
              <w:rPr>
                <w:color w:val="000000"/>
              </w:rPr>
              <w:t>.62</w:t>
            </w:r>
          </w:p>
        </w:tc>
      </w:tr>
      <w:tr w:rsidR="00EF3714" w:rsidRPr="007A51F1" w14:paraId="28D1F7A3" w14:textId="77777777" w:rsidTr="00EF3714">
        <w:trPr>
          <w:trHeight w:val="318"/>
        </w:trPr>
        <w:tc>
          <w:tcPr>
            <w:tcW w:w="2120" w:type="dxa"/>
            <w:tcBorders>
              <w:top w:val="nil"/>
              <w:left w:val="nil"/>
              <w:bottom w:val="nil"/>
              <w:right w:val="nil"/>
            </w:tcBorders>
            <w:shd w:val="clear" w:color="auto" w:fill="auto"/>
            <w:noWrap/>
            <w:vAlign w:val="bottom"/>
            <w:hideMark/>
          </w:tcPr>
          <w:p w14:paraId="2E7129C1" w14:textId="77777777" w:rsidR="007A51F1" w:rsidRPr="007A51F1" w:rsidRDefault="007A51F1" w:rsidP="007A51F1">
            <w:pPr>
              <w:spacing w:after="0" w:line="240" w:lineRule="auto"/>
              <w:jc w:val="left"/>
              <w:rPr>
                <w:color w:val="000000"/>
              </w:rPr>
            </w:pPr>
            <w:r w:rsidRPr="007A51F1">
              <w:rPr>
                <w:color w:val="000000"/>
              </w:rPr>
              <w:t>India</w:t>
            </w:r>
          </w:p>
        </w:tc>
        <w:tc>
          <w:tcPr>
            <w:tcW w:w="1395" w:type="dxa"/>
            <w:tcBorders>
              <w:top w:val="nil"/>
              <w:left w:val="nil"/>
              <w:bottom w:val="nil"/>
              <w:right w:val="nil"/>
            </w:tcBorders>
            <w:shd w:val="clear" w:color="auto" w:fill="auto"/>
            <w:noWrap/>
            <w:vAlign w:val="center"/>
            <w:hideMark/>
          </w:tcPr>
          <w:p w14:paraId="465BA9AE" w14:textId="77777777" w:rsidR="007A51F1" w:rsidRPr="007A51F1" w:rsidRDefault="007A51F1" w:rsidP="00D01A9D">
            <w:pPr>
              <w:spacing w:after="0" w:line="240" w:lineRule="auto"/>
              <w:rPr>
                <w:color w:val="000000"/>
              </w:rPr>
            </w:pPr>
            <w:r w:rsidRPr="007A51F1">
              <w:rPr>
                <w:color w:val="000000"/>
              </w:rPr>
              <w:t>.41</w:t>
            </w:r>
          </w:p>
        </w:tc>
        <w:tc>
          <w:tcPr>
            <w:tcW w:w="1306" w:type="dxa"/>
            <w:tcBorders>
              <w:top w:val="nil"/>
              <w:left w:val="nil"/>
              <w:bottom w:val="nil"/>
              <w:right w:val="nil"/>
            </w:tcBorders>
            <w:shd w:val="clear" w:color="auto" w:fill="auto"/>
            <w:noWrap/>
            <w:vAlign w:val="center"/>
            <w:hideMark/>
          </w:tcPr>
          <w:p w14:paraId="45894683" w14:textId="77777777" w:rsidR="007A51F1" w:rsidRPr="007A51F1" w:rsidRDefault="007A51F1" w:rsidP="00D01A9D">
            <w:pPr>
              <w:spacing w:after="0" w:line="240" w:lineRule="auto"/>
              <w:rPr>
                <w:color w:val="000000"/>
              </w:rPr>
            </w:pPr>
            <w:r w:rsidRPr="007A51F1">
              <w:rPr>
                <w:color w:val="000000"/>
              </w:rPr>
              <w:t>.45</w:t>
            </w:r>
          </w:p>
        </w:tc>
        <w:tc>
          <w:tcPr>
            <w:tcW w:w="1306" w:type="dxa"/>
            <w:tcBorders>
              <w:top w:val="nil"/>
              <w:left w:val="nil"/>
              <w:bottom w:val="nil"/>
              <w:right w:val="nil"/>
            </w:tcBorders>
            <w:shd w:val="clear" w:color="auto" w:fill="auto"/>
            <w:noWrap/>
            <w:vAlign w:val="center"/>
            <w:hideMark/>
          </w:tcPr>
          <w:p w14:paraId="3E62E250" w14:textId="77777777" w:rsidR="007A51F1" w:rsidRPr="007A51F1" w:rsidRDefault="007A51F1" w:rsidP="00D01A9D">
            <w:pPr>
              <w:spacing w:after="0" w:line="240" w:lineRule="auto"/>
              <w:rPr>
                <w:color w:val="000000"/>
              </w:rPr>
            </w:pPr>
            <w:r w:rsidRPr="007A51F1">
              <w:rPr>
                <w:color w:val="000000"/>
              </w:rPr>
              <w:t>.32</w:t>
            </w:r>
          </w:p>
        </w:tc>
        <w:tc>
          <w:tcPr>
            <w:tcW w:w="1306" w:type="dxa"/>
            <w:tcBorders>
              <w:top w:val="nil"/>
              <w:left w:val="nil"/>
              <w:bottom w:val="nil"/>
              <w:right w:val="nil"/>
            </w:tcBorders>
            <w:shd w:val="clear" w:color="auto" w:fill="auto"/>
            <w:noWrap/>
            <w:vAlign w:val="center"/>
            <w:hideMark/>
          </w:tcPr>
          <w:p w14:paraId="7290DEEA" w14:textId="77777777" w:rsidR="007A51F1" w:rsidRPr="007A51F1" w:rsidRDefault="007A51F1" w:rsidP="00D01A9D">
            <w:pPr>
              <w:spacing w:after="0" w:line="240" w:lineRule="auto"/>
              <w:rPr>
                <w:color w:val="000000"/>
              </w:rPr>
            </w:pPr>
            <w:r w:rsidRPr="007A51F1">
              <w:rPr>
                <w:color w:val="000000"/>
              </w:rPr>
              <w:t>.22</w:t>
            </w:r>
          </w:p>
        </w:tc>
        <w:tc>
          <w:tcPr>
            <w:tcW w:w="1683" w:type="dxa"/>
            <w:tcBorders>
              <w:top w:val="nil"/>
              <w:left w:val="nil"/>
              <w:bottom w:val="nil"/>
              <w:right w:val="nil"/>
            </w:tcBorders>
            <w:shd w:val="clear" w:color="auto" w:fill="auto"/>
            <w:noWrap/>
            <w:vAlign w:val="center"/>
            <w:hideMark/>
          </w:tcPr>
          <w:p w14:paraId="3AC4BEA1" w14:textId="77777777" w:rsidR="007A51F1" w:rsidRPr="007A51F1" w:rsidRDefault="007A51F1" w:rsidP="00D01A9D">
            <w:pPr>
              <w:spacing w:after="0" w:line="240" w:lineRule="auto"/>
              <w:rPr>
                <w:color w:val="000000"/>
              </w:rPr>
            </w:pPr>
            <w:r w:rsidRPr="007A51F1">
              <w:rPr>
                <w:color w:val="000000"/>
              </w:rPr>
              <w:t>.35</w:t>
            </w:r>
          </w:p>
        </w:tc>
      </w:tr>
      <w:tr w:rsidR="00EF3714" w:rsidRPr="007A51F1" w14:paraId="1C29C538" w14:textId="77777777" w:rsidTr="00EF3714">
        <w:trPr>
          <w:trHeight w:val="318"/>
        </w:trPr>
        <w:tc>
          <w:tcPr>
            <w:tcW w:w="2120" w:type="dxa"/>
            <w:tcBorders>
              <w:top w:val="nil"/>
              <w:left w:val="nil"/>
              <w:bottom w:val="nil"/>
              <w:right w:val="nil"/>
            </w:tcBorders>
            <w:shd w:val="clear" w:color="auto" w:fill="auto"/>
            <w:noWrap/>
            <w:vAlign w:val="bottom"/>
            <w:hideMark/>
          </w:tcPr>
          <w:p w14:paraId="1A15F731" w14:textId="77777777" w:rsidR="007A51F1" w:rsidRPr="007A51F1" w:rsidRDefault="007A51F1" w:rsidP="007A51F1">
            <w:pPr>
              <w:spacing w:after="0" w:line="240" w:lineRule="auto"/>
              <w:jc w:val="left"/>
              <w:rPr>
                <w:color w:val="000000"/>
              </w:rPr>
            </w:pPr>
            <w:r w:rsidRPr="007A51F1">
              <w:rPr>
                <w:color w:val="000000"/>
              </w:rPr>
              <w:lastRenderedPageBreak/>
              <w:t>Indonesia</w:t>
            </w:r>
          </w:p>
        </w:tc>
        <w:tc>
          <w:tcPr>
            <w:tcW w:w="1395" w:type="dxa"/>
            <w:tcBorders>
              <w:top w:val="nil"/>
              <w:left w:val="nil"/>
              <w:bottom w:val="nil"/>
              <w:right w:val="nil"/>
            </w:tcBorders>
            <w:shd w:val="clear" w:color="auto" w:fill="auto"/>
            <w:noWrap/>
            <w:vAlign w:val="center"/>
            <w:hideMark/>
          </w:tcPr>
          <w:p w14:paraId="57B8D782"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nil"/>
              <w:right w:val="nil"/>
            </w:tcBorders>
            <w:shd w:val="clear" w:color="auto" w:fill="auto"/>
            <w:noWrap/>
            <w:vAlign w:val="center"/>
            <w:hideMark/>
          </w:tcPr>
          <w:p w14:paraId="693085B8" w14:textId="77777777" w:rsidR="007A51F1" w:rsidRPr="007A51F1" w:rsidRDefault="007A51F1" w:rsidP="00D01A9D">
            <w:pPr>
              <w:spacing w:after="0" w:line="240" w:lineRule="auto"/>
              <w:rPr>
                <w:color w:val="000000"/>
              </w:rPr>
            </w:pPr>
            <w:r w:rsidRPr="007A51F1">
              <w:rPr>
                <w:color w:val="000000"/>
              </w:rPr>
              <w:t>.62</w:t>
            </w:r>
          </w:p>
        </w:tc>
        <w:tc>
          <w:tcPr>
            <w:tcW w:w="1306" w:type="dxa"/>
            <w:tcBorders>
              <w:top w:val="nil"/>
              <w:left w:val="nil"/>
              <w:bottom w:val="nil"/>
              <w:right w:val="nil"/>
            </w:tcBorders>
            <w:shd w:val="clear" w:color="auto" w:fill="auto"/>
            <w:noWrap/>
            <w:vAlign w:val="center"/>
            <w:hideMark/>
          </w:tcPr>
          <w:p w14:paraId="0586C87A" w14:textId="77777777" w:rsidR="007A51F1" w:rsidRPr="007A51F1" w:rsidRDefault="007A51F1" w:rsidP="00D01A9D">
            <w:pPr>
              <w:spacing w:after="0" w:line="240" w:lineRule="auto"/>
              <w:rPr>
                <w:color w:val="000000"/>
              </w:rPr>
            </w:pPr>
            <w:r w:rsidRPr="007A51F1">
              <w:rPr>
                <w:color w:val="000000"/>
              </w:rPr>
              <w:t>.49</w:t>
            </w:r>
          </w:p>
        </w:tc>
        <w:tc>
          <w:tcPr>
            <w:tcW w:w="1306" w:type="dxa"/>
            <w:tcBorders>
              <w:top w:val="nil"/>
              <w:left w:val="nil"/>
              <w:bottom w:val="nil"/>
              <w:right w:val="nil"/>
            </w:tcBorders>
            <w:shd w:val="clear" w:color="auto" w:fill="auto"/>
            <w:noWrap/>
            <w:vAlign w:val="center"/>
            <w:hideMark/>
          </w:tcPr>
          <w:p w14:paraId="1EC5A1A0" w14:textId="77777777" w:rsidR="007A51F1" w:rsidRPr="007A51F1" w:rsidRDefault="007A51F1" w:rsidP="00D01A9D">
            <w:pPr>
              <w:spacing w:after="0" w:line="240" w:lineRule="auto"/>
              <w:rPr>
                <w:color w:val="000000"/>
              </w:rPr>
            </w:pPr>
            <w:r w:rsidRPr="007A51F1">
              <w:rPr>
                <w:color w:val="000000"/>
              </w:rPr>
              <w:t>.28</w:t>
            </w:r>
          </w:p>
        </w:tc>
        <w:tc>
          <w:tcPr>
            <w:tcW w:w="1683" w:type="dxa"/>
            <w:tcBorders>
              <w:top w:val="nil"/>
              <w:left w:val="nil"/>
              <w:bottom w:val="nil"/>
              <w:right w:val="nil"/>
            </w:tcBorders>
            <w:shd w:val="clear" w:color="auto" w:fill="auto"/>
            <w:noWrap/>
            <w:vAlign w:val="center"/>
            <w:hideMark/>
          </w:tcPr>
          <w:p w14:paraId="1ED63E89" w14:textId="77777777" w:rsidR="007A51F1" w:rsidRPr="007A51F1" w:rsidRDefault="007A51F1" w:rsidP="00D01A9D">
            <w:pPr>
              <w:spacing w:after="0" w:line="240" w:lineRule="auto"/>
              <w:rPr>
                <w:color w:val="000000"/>
              </w:rPr>
            </w:pPr>
            <w:r w:rsidRPr="007A51F1">
              <w:rPr>
                <w:color w:val="000000"/>
              </w:rPr>
              <w:t>.54</w:t>
            </w:r>
          </w:p>
        </w:tc>
      </w:tr>
      <w:tr w:rsidR="00EF3714" w:rsidRPr="007A51F1" w14:paraId="4CC12572" w14:textId="77777777" w:rsidTr="00EF3714">
        <w:trPr>
          <w:trHeight w:val="318"/>
        </w:trPr>
        <w:tc>
          <w:tcPr>
            <w:tcW w:w="2120" w:type="dxa"/>
            <w:tcBorders>
              <w:top w:val="nil"/>
              <w:left w:val="nil"/>
              <w:bottom w:val="nil"/>
              <w:right w:val="nil"/>
            </w:tcBorders>
            <w:shd w:val="clear" w:color="auto" w:fill="auto"/>
            <w:noWrap/>
            <w:vAlign w:val="bottom"/>
            <w:hideMark/>
          </w:tcPr>
          <w:p w14:paraId="097FB8B5" w14:textId="77777777" w:rsidR="007A51F1" w:rsidRPr="007A51F1" w:rsidRDefault="007A51F1" w:rsidP="007A51F1">
            <w:pPr>
              <w:spacing w:after="0" w:line="240" w:lineRule="auto"/>
              <w:jc w:val="left"/>
              <w:rPr>
                <w:color w:val="000000"/>
              </w:rPr>
            </w:pPr>
            <w:r w:rsidRPr="007A51F1">
              <w:rPr>
                <w:color w:val="000000"/>
              </w:rPr>
              <w:t>Israel</w:t>
            </w:r>
          </w:p>
        </w:tc>
        <w:tc>
          <w:tcPr>
            <w:tcW w:w="1395" w:type="dxa"/>
            <w:tcBorders>
              <w:top w:val="nil"/>
              <w:left w:val="nil"/>
              <w:bottom w:val="nil"/>
              <w:right w:val="nil"/>
            </w:tcBorders>
            <w:shd w:val="clear" w:color="auto" w:fill="auto"/>
            <w:noWrap/>
            <w:vAlign w:val="center"/>
            <w:hideMark/>
          </w:tcPr>
          <w:p w14:paraId="03DDB68C" w14:textId="77777777" w:rsidR="007A51F1" w:rsidRPr="007A51F1" w:rsidRDefault="007A51F1" w:rsidP="00D01A9D">
            <w:pPr>
              <w:spacing w:after="0" w:line="240" w:lineRule="auto"/>
              <w:rPr>
                <w:color w:val="000000"/>
              </w:rPr>
            </w:pPr>
            <w:r w:rsidRPr="007A51F1">
              <w:rPr>
                <w:color w:val="000000"/>
              </w:rPr>
              <w:t>.55</w:t>
            </w:r>
          </w:p>
        </w:tc>
        <w:tc>
          <w:tcPr>
            <w:tcW w:w="1306" w:type="dxa"/>
            <w:tcBorders>
              <w:top w:val="nil"/>
              <w:left w:val="nil"/>
              <w:bottom w:val="nil"/>
              <w:right w:val="nil"/>
            </w:tcBorders>
            <w:shd w:val="clear" w:color="auto" w:fill="auto"/>
            <w:noWrap/>
            <w:vAlign w:val="center"/>
            <w:hideMark/>
          </w:tcPr>
          <w:p w14:paraId="6BB0D493" w14:textId="77777777" w:rsidR="007A51F1" w:rsidRPr="007A51F1" w:rsidRDefault="007A51F1" w:rsidP="00D01A9D">
            <w:pPr>
              <w:spacing w:after="0" w:line="240" w:lineRule="auto"/>
              <w:rPr>
                <w:color w:val="000000"/>
              </w:rPr>
            </w:pPr>
            <w:r w:rsidRPr="007A51F1">
              <w:rPr>
                <w:color w:val="000000"/>
              </w:rPr>
              <w:t>.62</w:t>
            </w:r>
          </w:p>
        </w:tc>
        <w:tc>
          <w:tcPr>
            <w:tcW w:w="1306" w:type="dxa"/>
            <w:tcBorders>
              <w:top w:val="nil"/>
              <w:left w:val="nil"/>
              <w:bottom w:val="nil"/>
              <w:right w:val="nil"/>
            </w:tcBorders>
            <w:shd w:val="clear" w:color="auto" w:fill="auto"/>
            <w:noWrap/>
            <w:vAlign w:val="center"/>
            <w:hideMark/>
          </w:tcPr>
          <w:p w14:paraId="79D802AF" w14:textId="77777777" w:rsidR="007A51F1" w:rsidRPr="007A51F1" w:rsidRDefault="007A51F1" w:rsidP="00D01A9D">
            <w:pPr>
              <w:spacing w:after="0" w:line="240" w:lineRule="auto"/>
              <w:rPr>
                <w:color w:val="000000"/>
              </w:rPr>
            </w:pPr>
            <w:r w:rsidRPr="007A51F1">
              <w:rPr>
                <w:color w:val="000000"/>
              </w:rPr>
              <w:t>.68</w:t>
            </w:r>
          </w:p>
        </w:tc>
        <w:tc>
          <w:tcPr>
            <w:tcW w:w="1306" w:type="dxa"/>
            <w:tcBorders>
              <w:top w:val="nil"/>
              <w:left w:val="nil"/>
              <w:bottom w:val="nil"/>
              <w:right w:val="nil"/>
            </w:tcBorders>
            <w:shd w:val="clear" w:color="auto" w:fill="auto"/>
            <w:noWrap/>
            <w:vAlign w:val="center"/>
            <w:hideMark/>
          </w:tcPr>
          <w:p w14:paraId="6EEBFA5E" w14:textId="77777777" w:rsidR="007A51F1" w:rsidRPr="007A51F1" w:rsidRDefault="007A51F1" w:rsidP="00D01A9D">
            <w:pPr>
              <w:spacing w:after="0" w:line="240" w:lineRule="auto"/>
              <w:rPr>
                <w:color w:val="000000"/>
              </w:rPr>
            </w:pPr>
            <w:r w:rsidRPr="007A51F1">
              <w:rPr>
                <w:color w:val="000000"/>
              </w:rPr>
              <w:t>.15</w:t>
            </w:r>
          </w:p>
        </w:tc>
        <w:tc>
          <w:tcPr>
            <w:tcW w:w="1683" w:type="dxa"/>
            <w:tcBorders>
              <w:top w:val="nil"/>
              <w:left w:val="nil"/>
              <w:bottom w:val="nil"/>
              <w:right w:val="nil"/>
            </w:tcBorders>
            <w:shd w:val="clear" w:color="auto" w:fill="auto"/>
            <w:noWrap/>
            <w:vAlign w:val="center"/>
            <w:hideMark/>
          </w:tcPr>
          <w:p w14:paraId="6DF0DFA8" w14:textId="77777777" w:rsidR="007A51F1" w:rsidRPr="007A51F1" w:rsidRDefault="007A51F1" w:rsidP="00D01A9D">
            <w:pPr>
              <w:spacing w:after="0" w:line="240" w:lineRule="auto"/>
              <w:rPr>
                <w:color w:val="000000"/>
              </w:rPr>
            </w:pPr>
            <w:r w:rsidRPr="007A51F1">
              <w:rPr>
                <w:color w:val="000000"/>
              </w:rPr>
              <w:t>.50</w:t>
            </w:r>
          </w:p>
        </w:tc>
      </w:tr>
      <w:tr w:rsidR="00EF3714" w:rsidRPr="007A51F1" w14:paraId="3FEF218E" w14:textId="77777777" w:rsidTr="00EF3714">
        <w:trPr>
          <w:trHeight w:val="318"/>
        </w:trPr>
        <w:tc>
          <w:tcPr>
            <w:tcW w:w="2120" w:type="dxa"/>
            <w:tcBorders>
              <w:top w:val="nil"/>
              <w:left w:val="nil"/>
              <w:bottom w:val="nil"/>
              <w:right w:val="nil"/>
            </w:tcBorders>
            <w:shd w:val="clear" w:color="auto" w:fill="auto"/>
            <w:noWrap/>
            <w:vAlign w:val="bottom"/>
            <w:hideMark/>
          </w:tcPr>
          <w:p w14:paraId="28C6522B" w14:textId="77777777" w:rsidR="007A51F1" w:rsidRPr="007A51F1" w:rsidRDefault="007A51F1" w:rsidP="007A51F1">
            <w:pPr>
              <w:spacing w:after="0" w:line="240" w:lineRule="auto"/>
              <w:jc w:val="left"/>
              <w:rPr>
                <w:color w:val="000000"/>
              </w:rPr>
            </w:pPr>
            <w:r w:rsidRPr="007A51F1">
              <w:rPr>
                <w:color w:val="000000"/>
              </w:rPr>
              <w:t>Italy</w:t>
            </w:r>
          </w:p>
        </w:tc>
        <w:tc>
          <w:tcPr>
            <w:tcW w:w="1395" w:type="dxa"/>
            <w:tcBorders>
              <w:top w:val="nil"/>
              <w:left w:val="nil"/>
              <w:bottom w:val="nil"/>
              <w:right w:val="nil"/>
            </w:tcBorders>
            <w:shd w:val="clear" w:color="auto" w:fill="auto"/>
            <w:noWrap/>
            <w:vAlign w:val="center"/>
            <w:hideMark/>
          </w:tcPr>
          <w:p w14:paraId="5B4B0799"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686F5976"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12C7FEC1" w14:textId="77777777" w:rsidR="007A51F1" w:rsidRPr="007A51F1" w:rsidRDefault="007A51F1" w:rsidP="00D01A9D">
            <w:pPr>
              <w:spacing w:after="0" w:line="240" w:lineRule="auto"/>
              <w:rPr>
                <w:color w:val="000000"/>
              </w:rPr>
            </w:pPr>
            <w:r w:rsidRPr="007A51F1">
              <w:rPr>
                <w:color w:val="000000"/>
              </w:rPr>
              <w:t>.58</w:t>
            </w:r>
          </w:p>
        </w:tc>
        <w:tc>
          <w:tcPr>
            <w:tcW w:w="1306" w:type="dxa"/>
            <w:tcBorders>
              <w:top w:val="nil"/>
              <w:left w:val="nil"/>
              <w:bottom w:val="nil"/>
              <w:right w:val="nil"/>
            </w:tcBorders>
            <w:shd w:val="clear" w:color="auto" w:fill="auto"/>
            <w:noWrap/>
            <w:vAlign w:val="center"/>
            <w:hideMark/>
          </w:tcPr>
          <w:p w14:paraId="1D84E165" w14:textId="77777777" w:rsidR="007A51F1" w:rsidRPr="007A51F1" w:rsidRDefault="007A51F1" w:rsidP="00D01A9D">
            <w:pPr>
              <w:spacing w:after="0" w:line="240" w:lineRule="auto"/>
              <w:rPr>
                <w:color w:val="000000"/>
              </w:rPr>
            </w:pPr>
            <w:r w:rsidRPr="007A51F1">
              <w:rPr>
                <w:color w:val="000000"/>
              </w:rPr>
              <w:t>.39</w:t>
            </w:r>
          </w:p>
        </w:tc>
        <w:tc>
          <w:tcPr>
            <w:tcW w:w="1683" w:type="dxa"/>
            <w:tcBorders>
              <w:top w:val="nil"/>
              <w:left w:val="nil"/>
              <w:bottom w:val="nil"/>
              <w:right w:val="nil"/>
            </w:tcBorders>
            <w:shd w:val="clear" w:color="auto" w:fill="auto"/>
            <w:noWrap/>
            <w:vAlign w:val="center"/>
            <w:hideMark/>
          </w:tcPr>
          <w:p w14:paraId="0DC7AAC6" w14:textId="77777777" w:rsidR="007A51F1" w:rsidRPr="007A51F1" w:rsidRDefault="007A51F1" w:rsidP="00D01A9D">
            <w:pPr>
              <w:spacing w:after="0" w:line="240" w:lineRule="auto"/>
              <w:rPr>
                <w:color w:val="000000"/>
              </w:rPr>
            </w:pPr>
            <w:r w:rsidRPr="007A51F1">
              <w:rPr>
                <w:color w:val="000000"/>
              </w:rPr>
              <w:t>.62</w:t>
            </w:r>
          </w:p>
        </w:tc>
      </w:tr>
      <w:tr w:rsidR="00EF3714" w:rsidRPr="007A51F1" w14:paraId="55FC5CC8" w14:textId="77777777" w:rsidTr="00EF3714">
        <w:trPr>
          <w:trHeight w:val="318"/>
        </w:trPr>
        <w:tc>
          <w:tcPr>
            <w:tcW w:w="2120" w:type="dxa"/>
            <w:tcBorders>
              <w:top w:val="nil"/>
              <w:left w:val="nil"/>
              <w:bottom w:val="nil"/>
              <w:right w:val="nil"/>
            </w:tcBorders>
            <w:shd w:val="clear" w:color="auto" w:fill="auto"/>
            <w:noWrap/>
            <w:vAlign w:val="bottom"/>
            <w:hideMark/>
          </w:tcPr>
          <w:p w14:paraId="53E72432" w14:textId="77777777" w:rsidR="007A51F1" w:rsidRPr="007A51F1" w:rsidRDefault="007A51F1" w:rsidP="007A51F1">
            <w:pPr>
              <w:spacing w:after="0" w:line="240" w:lineRule="auto"/>
              <w:jc w:val="left"/>
              <w:rPr>
                <w:color w:val="000000"/>
              </w:rPr>
            </w:pPr>
            <w:r w:rsidRPr="007A51F1">
              <w:rPr>
                <w:color w:val="000000"/>
              </w:rPr>
              <w:t>Japan</w:t>
            </w:r>
          </w:p>
        </w:tc>
        <w:tc>
          <w:tcPr>
            <w:tcW w:w="1395" w:type="dxa"/>
            <w:tcBorders>
              <w:top w:val="nil"/>
              <w:left w:val="nil"/>
              <w:bottom w:val="nil"/>
              <w:right w:val="nil"/>
            </w:tcBorders>
            <w:shd w:val="clear" w:color="auto" w:fill="auto"/>
            <w:noWrap/>
            <w:vAlign w:val="center"/>
            <w:hideMark/>
          </w:tcPr>
          <w:p w14:paraId="6564634F"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5742C309"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37411B58" w14:textId="77777777" w:rsidR="007A51F1" w:rsidRPr="007A51F1" w:rsidRDefault="007A51F1" w:rsidP="00D01A9D">
            <w:pPr>
              <w:spacing w:after="0" w:line="240" w:lineRule="auto"/>
              <w:rPr>
                <w:color w:val="000000"/>
              </w:rPr>
            </w:pPr>
            <w:r w:rsidRPr="007A51F1">
              <w:rPr>
                <w:color w:val="000000"/>
              </w:rPr>
              <w:t>.46</w:t>
            </w:r>
          </w:p>
        </w:tc>
        <w:tc>
          <w:tcPr>
            <w:tcW w:w="1306" w:type="dxa"/>
            <w:tcBorders>
              <w:top w:val="nil"/>
              <w:left w:val="nil"/>
              <w:bottom w:val="nil"/>
              <w:right w:val="nil"/>
            </w:tcBorders>
            <w:shd w:val="clear" w:color="auto" w:fill="auto"/>
            <w:noWrap/>
            <w:vAlign w:val="center"/>
            <w:hideMark/>
          </w:tcPr>
          <w:p w14:paraId="57C2C819" w14:textId="77777777" w:rsidR="007A51F1" w:rsidRPr="007A51F1" w:rsidRDefault="007A51F1" w:rsidP="00D01A9D">
            <w:pPr>
              <w:spacing w:after="0" w:line="240" w:lineRule="auto"/>
              <w:rPr>
                <w:color w:val="000000"/>
              </w:rPr>
            </w:pPr>
            <w:r w:rsidRPr="007A51F1">
              <w:rPr>
                <w:color w:val="000000"/>
              </w:rPr>
              <w:t>.40</w:t>
            </w:r>
          </w:p>
        </w:tc>
        <w:tc>
          <w:tcPr>
            <w:tcW w:w="1683" w:type="dxa"/>
            <w:tcBorders>
              <w:top w:val="nil"/>
              <w:left w:val="nil"/>
              <w:bottom w:val="nil"/>
              <w:right w:val="nil"/>
            </w:tcBorders>
            <w:shd w:val="clear" w:color="auto" w:fill="auto"/>
            <w:noWrap/>
            <w:vAlign w:val="center"/>
            <w:hideMark/>
          </w:tcPr>
          <w:p w14:paraId="66834BB5" w14:textId="77777777" w:rsidR="007A51F1" w:rsidRPr="007A51F1" w:rsidRDefault="007A51F1" w:rsidP="00D01A9D">
            <w:pPr>
              <w:spacing w:after="0" w:line="240" w:lineRule="auto"/>
              <w:rPr>
                <w:color w:val="000000"/>
              </w:rPr>
            </w:pPr>
            <w:r w:rsidRPr="007A51F1">
              <w:rPr>
                <w:color w:val="000000"/>
              </w:rPr>
              <w:t>.60</w:t>
            </w:r>
          </w:p>
        </w:tc>
      </w:tr>
      <w:tr w:rsidR="00EF3714" w:rsidRPr="007A51F1" w14:paraId="7FADDB9A" w14:textId="77777777" w:rsidTr="00EF3714">
        <w:trPr>
          <w:trHeight w:val="318"/>
        </w:trPr>
        <w:tc>
          <w:tcPr>
            <w:tcW w:w="2120" w:type="dxa"/>
            <w:tcBorders>
              <w:top w:val="nil"/>
              <w:left w:val="nil"/>
              <w:bottom w:val="nil"/>
              <w:right w:val="nil"/>
            </w:tcBorders>
            <w:shd w:val="clear" w:color="auto" w:fill="auto"/>
            <w:noWrap/>
            <w:vAlign w:val="bottom"/>
            <w:hideMark/>
          </w:tcPr>
          <w:p w14:paraId="4D80526D" w14:textId="77777777" w:rsidR="007A51F1" w:rsidRPr="007A51F1" w:rsidRDefault="007A51F1" w:rsidP="007A51F1">
            <w:pPr>
              <w:spacing w:after="0" w:line="240" w:lineRule="auto"/>
              <w:jc w:val="left"/>
              <w:rPr>
                <w:color w:val="000000"/>
              </w:rPr>
            </w:pPr>
            <w:r w:rsidRPr="007A51F1">
              <w:rPr>
                <w:color w:val="000000"/>
              </w:rPr>
              <w:t>Jordan</w:t>
            </w:r>
          </w:p>
        </w:tc>
        <w:tc>
          <w:tcPr>
            <w:tcW w:w="1395" w:type="dxa"/>
            <w:tcBorders>
              <w:top w:val="nil"/>
              <w:left w:val="nil"/>
              <w:bottom w:val="nil"/>
              <w:right w:val="nil"/>
            </w:tcBorders>
            <w:shd w:val="clear" w:color="auto" w:fill="auto"/>
            <w:noWrap/>
            <w:vAlign w:val="center"/>
            <w:hideMark/>
          </w:tcPr>
          <w:p w14:paraId="4EE6FD68"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0E946882" w14:textId="77777777" w:rsidR="007A51F1" w:rsidRPr="007A51F1" w:rsidRDefault="007A51F1" w:rsidP="00D01A9D">
            <w:pPr>
              <w:spacing w:after="0" w:line="240" w:lineRule="auto"/>
              <w:rPr>
                <w:color w:val="000000"/>
              </w:rPr>
            </w:pPr>
            <w:r w:rsidRPr="007A51F1">
              <w:rPr>
                <w:color w:val="000000"/>
              </w:rPr>
              <w:t>.62</w:t>
            </w:r>
          </w:p>
        </w:tc>
        <w:tc>
          <w:tcPr>
            <w:tcW w:w="1306" w:type="dxa"/>
            <w:tcBorders>
              <w:top w:val="nil"/>
              <w:left w:val="nil"/>
              <w:bottom w:val="nil"/>
              <w:right w:val="nil"/>
            </w:tcBorders>
            <w:shd w:val="clear" w:color="auto" w:fill="auto"/>
            <w:noWrap/>
            <w:vAlign w:val="center"/>
            <w:hideMark/>
          </w:tcPr>
          <w:p w14:paraId="6E7A0204" w14:textId="77777777" w:rsidR="007A51F1" w:rsidRPr="007A51F1" w:rsidRDefault="007A51F1" w:rsidP="00D01A9D">
            <w:pPr>
              <w:spacing w:after="0" w:line="240" w:lineRule="auto"/>
              <w:rPr>
                <w:color w:val="000000"/>
              </w:rPr>
            </w:pPr>
            <w:r w:rsidRPr="007A51F1">
              <w:rPr>
                <w:color w:val="000000"/>
              </w:rPr>
              <w:t>.53</w:t>
            </w:r>
          </w:p>
        </w:tc>
        <w:tc>
          <w:tcPr>
            <w:tcW w:w="1306" w:type="dxa"/>
            <w:tcBorders>
              <w:top w:val="nil"/>
              <w:left w:val="nil"/>
              <w:bottom w:val="nil"/>
              <w:right w:val="nil"/>
            </w:tcBorders>
            <w:shd w:val="clear" w:color="auto" w:fill="auto"/>
            <w:noWrap/>
            <w:vAlign w:val="center"/>
            <w:hideMark/>
          </w:tcPr>
          <w:p w14:paraId="59AC3588" w14:textId="77777777" w:rsidR="007A51F1" w:rsidRPr="007A51F1" w:rsidRDefault="007A51F1" w:rsidP="00D01A9D">
            <w:pPr>
              <w:spacing w:after="0" w:line="240" w:lineRule="auto"/>
              <w:rPr>
                <w:color w:val="000000"/>
              </w:rPr>
            </w:pPr>
            <w:r w:rsidRPr="007A51F1">
              <w:rPr>
                <w:color w:val="000000"/>
              </w:rPr>
              <w:t>.13</w:t>
            </w:r>
          </w:p>
        </w:tc>
        <w:tc>
          <w:tcPr>
            <w:tcW w:w="1683" w:type="dxa"/>
            <w:tcBorders>
              <w:top w:val="nil"/>
              <w:left w:val="nil"/>
              <w:bottom w:val="nil"/>
              <w:right w:val="nil"/>
            </w:tcBorders>
            <w:shd w:val="clear" w:color="auto" w:fill="auto"/>
            <w:noWrap/>
            <w:vAlign w:val="center"/>
            <w:hideMark/>
          </w:tcPr>
          <w:p w14:paraId="3E8E99C4" w14:textId="77777777" w:rsidR="007A51F1" w:rsidRPr="007A51F1" w:rsidRDefault="007A51F1" w:rsidP="00D01A9D">
            <w:pPr>
              <w:spacing w:after="0" w:line="240" w:lineRule="auto"/>
              <w:rPr>
                <w:color w:val="000000"/>
              </w:rPr>
            </w:pPr>
            <w:r w:rsidRPr="007A51F1">
              <w:rPr>
                <w:color w:val="000000"/>
              </w:rPr>
              <w:t>.49</w:t>
            </w:r>
          </w:p>
        </w:tc>
      </w:tr>
      <w:tr w:rsidR="00EF3714" w:rsidRPr="007A51F1" w14:paraId="18C2FF4D" w14:textId="77777777" w:rsidTr="00EF3714">
        <w:trPr>
          <w:trHeight w:val="318"/>
        </w:trPr>
        <w:tc>
          <w:tcPr>
            <w:tcW w:w="2120" w:type="dxa"/>
            <w:tcBorders>
              <w:top w:val="nil"/>
              <w:left w:val="nil"/>
              <w:bottom w:val="nil"/>
              <w:right w:val="nil"/>
            </w:tcBorders>
            <w:shd w:val="clear" w:color="auto" w:fill="auto"/>
            <w:noWrap/>
            <w:vAlign w:val="bottom"/>
            <w:hideMark/>
          </w:tcPr>
          <w:p w14:paraId="4BCE9642" w14:textId="77777777" w:rsidR="007A51F1" w:rsidRPr="007A51F1" w:rsidRDefault="007A51F1" w:rsidP="007A51F1">
            <w:pPr>
              <w:spacing w:after="0" w:line="240" w:lineRule="auto"/>
              <w:jc w:val="left"/>
              <w:rPr>
                <w:color w:val="000000"/>
              </w:rPr>
            </w:pPr>
            <w:r w:rsidRPr="007A51F1">
              <w:rPr>
                <w:color w:val="000000"/>
              </w:rPr>
              <w:t>Kenya</w:t>
            </w:r>
          </w:p>
        </w:tc>
        <w:tc>
          <w:tcPr>
            <w:tcW w:w="1395" w:type="dxa"/>
            <w:tcBorders>
              <w:top w:val="nil"/>
              <w:left w:val="nil"/>
              <w:bottom w:val="nil"/>
              <w:right w:val="nil"/>
            </w:tcBorders>
            <w:shd w:val="clear" w:color="auto" w:fill="auto"/>
            <w:noWrap/>
            <w:vAlign w:val="center"/>
            <w:hideMark/>
          </w:tcPr>
          <w:p w14:paraId="4F6750CB" w14:textId="77777777" w:rsidR="007A51F1" w:rsidRPr="007A51F1" w:rsidRDefault="007A51F1" w:rsidP="00D01A9D">
            <w:pPr>
              <w:spacing w:after="0" w:line="240" w:lineRule="auto"/>
              <w:rPr>
                <w:color w:val="000000"/>
              </w:rPr>
            </w:pPr>
            <w:r w:rsidRPr="007A51F1">
              <w:rPr>
                <w:color w:val="000000"/>
              </w:rPr>
              <w:t>.59</w:t>
            </w:r>
          </w:p>
        </w:tc>
        <w:tc>
          <w:tcPr>
            <w:tcW w:w="1306" w:type="dxa"/>
            <w:tcBorders>
              <w:top w:val="nil"/>
              <w:left w:val="nil"/>
              <w:bottom w:val="nil"/>
              <w:right w:val="nil"/>
            </w:tcBorders>
            <w:shd w:val="clear" w:color="auto" w:fill="auto"/>
            <w:noWrap/>
            <w:vAlign w:val="center"/>
            <w:hideMark/>
          </w:tcPr>
          <w:p w14:paraId="49936E63" w14:textId="77777777" w:rsidR="007A51F1" w:rsidRPr="007A51F1" w:rsidRDefault="007A51F1" w:rsidP="00D01A9D">
            <w:pPr>
              <w:spacing w:after="0" w:line="240" w:lineRule="auto"/>
              <w:rPr>
                <w:color w:val="000000"/>
              </w:rPr>
            </w:pPr>
            <w:r w:rsidRPr="007A51F1">
              <w:rPr>
                <w:color w:val="000000"/>
              </w:rPr>
              <w:t>.50</w:t>
            </w:r>
          </w:p>
        </w:tc>
        <w:tc>
          <w:tcPr>
            <w:tcW w:w="1306" w:type="dxa"/>
            <w:tcBorders>
              <w:top w:val="nil"/>
              <w:left w:val="nil"/>
              <w:bottom w:val="nil"/>
              <w:right w:val="nil"/>
            </w:tcBorders>
            <w:shd w:val="clear" w:color="auto" w:fill="auto"/>
            <w:noWrap/>
            <w:vAlign w:val="center"/>
            <w:hideMark/>
          </w:tcPr>
          <w:p w14:paraId="37FEA25C" w14:textId="77777777" w:rsidR="007A51F1" w:rsidRPr="007A51F1" w:rsidRDefault="007A51F1" w:rsidP="00D01A9D">
            <w:pPr>
              <w:spacing w:after="0" w:line="240" w:lineRule="auto"/>
              <w:rPr>
                <w:color w:val="000000"/>
              </w:rPr>
            </w:pPr>
            <w:r w:rsidRPr="007A51F1">
              <w:rPr>
                <w:color w:val="000000"/>
              </w:rPr>
              <w:t>.59</w:t>
            </w:r>
          </w:p>
        </w:tc>
        <w:tc>
          <w:tcPr>
            <w:tcW w:w="1306" w:type="dxa"/>
            <w:tcBorders>
              <w:top w:val="nil"/>
              <w:left w:val="nil"/>
              <w:bottom w:val="nil"/>
              <w:right w:val="nil"/>
            </w:tcBorders>
            <w:shd w:val="clear" w:color="auto" w:fill="auto"/>
            <w:noWrap/>
            <w:vAlign w:val="center"/>
            <w:hideMark/>
          </w:tcPr>
          <w:p w14:paraId="3EA76775" w14:textId="77777777" w:rsidR="007A51F1" w:rsidRPr="007A51F1" w:rsidRDefault="007A51F1" w:rsidP="00D01A9D">
            <w:pPr>
              <w:spacing w:after="0" w:line="240" w:lineRule="auto"/>
              <w:rPr>
                <w:color w:val="000000"/>
              </w:rPr>
            </w:pPr>
            <w:r w:rsidRPr="007A51F1">
              <w:rPr>
                <w:color w:val="000000"/>
              </w:rPr>
              <w:t>.05</w:t>
            </w:r>
          </w:p>
        </w:tc>
        <w:tc>
          <w:tcPr>
            <w:tcW w:w="1683" w:type="dxa"/>
            <w:tcBorders>
              <w:top w:val="nil"/>
              <w:left w:val="nil"/>
              <w:bottom w:val="nil"/>
              <w:right w:val="nil"/>
            </w:tcBorders>
            <w:shd w:val="clear" w:color="auto" w:fill="auto"/>
            <w:noWrap/>
            <w:vAlign w:val="center"/>
            <w:hideMark/>
          </w:tcPr>
          <w:p w14:paraId="3738CAA5" w14:textId="77777777" w:rsidR="007A51F1" w:rsidRPr="007A51F1" w:rsidRDefault="007A51F1" w:rsidP="00D01A9D">
            <w:pPr>
              <w:spacing w:after="0" w:line="240" w:lineRule="auto"/>
              <w:rPr>
                <w:color w:val="000000"/>
              </w:rPr>
            </w:pPr>
            <w:r w:rsidRPr="007A51F1">
              <w:rPr>
                <w:color w:val="000000"/>
              </w:rPr>
              <w:t>.43</w:t>
            </w:r>
          </w:p>
        </w:tc>
      </w:tr>
      <w:tr w:rsidR="00EF3714" w:rsidRPr="007A51F1" w14:paraId="3490B7EB" w14:textId="77777777" w:rsidTr="00EF3714">
        <w:trPr>
          <w:trHeight w:val="318"/>
        </w:trPr>
        <w:tc>
          <w:tcPr>
            <w:tcW w:w="2120" w:type="dxa"/>
            <w:tcBorders>
              <w:top w:val="nil"/>
              <w:left w:val="nil"/>
              <w:bottom w:val="nil"/>
              <w:right w:val="nil"/>
            </w:tcBorders>
            <w:shd w:val="clear" w:color="auto" w:fill="auto"/>
            <w:noWrap/>
            <w:vAlign w:val="bottom"/>
            <w:hideMark/>
          </w:tcPr>
          <w:p w14:paraId="0BC8DAE8" w14:textId="77777777" w:rsidR="007A51F1" w:rsidRPr="007A51F1" w:rsidRDefault="007A51F1" w:rsidP="007A51F1">
            <w:pPr>
              <w:spacing w:after="0" w:line="240" w:lineRule="auto"/>
              <w:jc w:val="left"/>
              <w:rPr>
                <w:color w:val="000000"/>
              </w:rPr>
            </w:pPr>
            <w:r w:rsidRPr="007A51F1">
              <w:rPr>
                <w:color w:val="000000"/>
              </w:rPr>
              <w:t>Latvia</w:t>
            </w:r>
          </w:p>
        </w:tc>
        <w:tc>
          <w:tcPr>
            <w:tcW w:w="1395" w:type="dxa"/>
            <w:tcBorders>
              <w:top w:val="nil"/>
              <w:left w:val="nil"/>
              <w:bottom w:val="nil"/>
              <w:right w:val="nil"/>
            </w:tcBorders>
            <w:shd w:val="clear" w:color="auto" w:fill="auto"/>
            <w:noWrap/>
            <w:vAlign w:val="center"/>
            <w:hideMark/>
          </w:tcPr>
          <w:p w14:paraId="3382B705" w14:textId="77777777" w:rsidR="007A51F1" w:rsidRPr="007A51F1" w:rsidRDefault="007A51F1" w:rsidP="00D01A9D">
            <w:pPr>
              <w:spacing w:after="0" w:line="240" w:lineRule="auto"/>
              <w:rPr>
                <w:color w:val="000000"/>
              </w:rPr>
            </w:pPr>
            <w:r w:rsidRPr="007A51F1">
              <w:rPr>
                <w:color w:val="000000"/>
              </w:rPr>
              <w:t>.87</w:t>
            </w:r>
          </w:p>
        </w:tc>
        <w:tc>
          <w:tcPr>
            <w:tcW w:w="1306" w:type="dxa"/>
            <w:tcBorders>
              <w:top w:val="nil"/>
              <w:left w:val="nil"/>
              <w:bottom w:val="nil"/>
              <w:right w:val="nil"/>
            </w:tcBorders>
            <w:shd w:val="clear" w:color="auto" w:fill="auto"/>
            <w:noWrap/>
            <w:vAlign w:val="center"/>
            <w:hideMark/>
          </w:tcPr>
          <w:p w14:paraId="38B41242" w14:textId="77777777" w:rsidR="007A51F1" w:rsidRPr="007A51F1" w:rsidRDefault="007A51F1" w:rsidP="00D01A9D">
            <w:pPr>
              <w:spacing w:after="0" w:line="240" w:lineRule="auto"/>
              <w:rPr>
                <w:color w:val="000000"/>
              </w:rPr>
            </w:pPr>
            <w:r w:rsidRPr="007A51F1">
              <w:rPr>
                <w:color w:val="000000"/>
              </w:rPr>
              <w:t>.86</w:t>
            </w:r>
          </w:p>
        </w:tc>
        <w:tc>
          <w:tcPr>
            <w:tcW w:w="1306" w:type="dxa"/>
            <w:tcBorders>
              <w:top w:val="nil"/>
              <w:left w:val="nil"/>
              <w:bottom w:val="nil"/>
              <w:right w:val="nil"/>
            </w:tcBorders>
            <w:shd w:val="clear" w:color="auto" w:fill="auto"/>
            <w:noWrap/>
            <w:vAlign w:val="center"/>
            <w:hideMark/>
          </w:tcPr>
          <w:p w14:paraId="6F2D46D7"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37039048" w14:textId="77777777" w:rsidR="007A51F1" w:rsidRPr="007A51F1" w:rsidRDefault="007A51F1" w:rsidP="00D01A9D">
            <w:pPr>
              <w:spacing w:after="0" w:line="240" w:lineRule="auto"/>
              <w:rPr>
                <w:color w:val="000000"/>
              </w:rPr>
            </w:pPr>
            <w:r w:rsidRPr="007A51F1">
              <w:rPr>
                <w:color w:val="000000"/>
              </w:rPr>
              <w:t>.56</w:t>
            </w:r>
          </w:p>
        </w:tc>
        <w:tc>
          <w:tcPr>
            <w:tcW w:w="1683" w:type="dxa"/>
            <w:tcBorders>
              <w:top w:val="nil"/>
              <w:left w:val="nil"/>
              <w:bottom w:val="nil"/>
              <w:right w:val="nil"/>
            </w:tcBorders>
            <w:shd w:val="clear" w:color="auto" w:fill="auto"/>
            <w:noWrap/>
            <w:vAlign w:val="center"/>
            <w:hideMark/>
          </w:tcPr>
          <w:p w14:paraId="1EC2DC78" w14:textId="77777777" w:rsidR="007A51F1" w:rsidRPr="007A51F1" w:rsidRDefault="007A51F1" w:rsidP="00D01A9D">
            <w:pPr>
              <w:spacing w:after="0" w:line="240" w:lineRule="auto"/>
              <w:rPr>
                <w:color w:val="000000"/>
              </w:rPr>
            </w:pPr>
            <w:r w:rsidRPr="007A51F1">
              <w:rPr>
                <w:color w:val="000000"/>
              </w:rPr>
              <w:t>.76</w:t>
            </w:r>
          </w:p>
        </w:tc>
      </w:tr>
      <w:tr w:rsidR="00EF3714" w:rsidRPr="007A51F1" w14:paraId="173A8348" w14:textId="77777777" w:rsidTr="00EF3714">
        <w:trPr>
          <w:trHeight w:val="318"/>
        </w:trPr>
        <w:tc>
          <w:tcPr>
            <w:tcW w:w="2120" w:type="dxa"/>
            <w:tcBorders>
              <w:top w:val="nil"/>
              <w:left w:val="nil"/>
              <w:bottom w:val="nil"/>
              <w:right w:val="nil"/>
            </w:tcBorders>
            <w:shd w:val="clear" w:color="auto" w:fill="auto"/>
            <w:noWrap/>
            <w:vAlign w:val="bottom"/>
            <w:hideMark/>
          </w:tcPr>
          <w:p w14:paraId="2EEC816C" w14:textId="77777777" w:rsidR="007A51F1" w:rsidRPr="007A51F1" w:rsidRDefault="007A51F1" w:rsidP="007A51F1">
            <w:pPr>
              <w:spacing w:after="0" w:line="240" w:lineRule="auto"/>
              <w:jc w:val="left"/>
              <w:rPr>
                <w:color w:val="000000"/>
              </w:rPr>
            </w:pPr>
            <w:r w:rsidRPr="007A51F1">
              <w:rPr>
                <w:color w:val="000000"/>
              </w:rPr>
              <w:t>Lithuania</w:t>
            </w:r>
          </w:p>
        </w:tc>
        <w:tc>
          <w:tcPr>
            <w:tcW w:w="1395" w:type="dxa"/>
            <w:tcBorders>
              <w:top w:val="nil"/>
              <w:left w:val="nil"/>
              <w:bottom w:val="nil"/>
              <w:right w:val="nil"/>
            </w:tcBorders>
            <w:shd w:val="clear" w:color="auto" w:fill="auto"/>
            <w:noWrap/>
            <w:vAlign w:val="center"/>
            <w:hideMark/>
          </w:tcPr>
          <w:p w14:paraId="422DD7EA"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nil"/>
              <w:right w:val="nil"/>
            </w:tcBorders>
            <w:shd w:val="clear" w:color="auto" w:fill="auto"/>
            <w:noWrap/>
            <w:vAlign w:val="center"/>
            <w:hideMark/>
          </w:tcPr>
          <w:p w14:paraId="73C0F104" w14:textId="77777777" w:rsidR="007A51F1" w:rsidRPr="007A51F1" w:rsidRDefault="007A51F1" w:rsidP="00D01A9D">
            <w:pPr>
              <w:spacing w:after="0" w:line="240" w:lineRule="auto"/>
              <w:rPr>
                <w:color w:val="000000"/>
              </w:rPr>
            </w:pPr>
            <w:r w:rsidRPr="007A51F1">
              <w:rPr>
                <w:color w:val="000000"/>
              </w:rPr>
              <w:t>.85</w:t>
            </w:r>
          </w:p>
        </w:tc>
        <w:tc>
          <w:tcPr>
            <w:tcW w:w="1306" w:type="dxa"/>
            <w:tcBorders>
              <w:top w:val="nil"/>
              <w:left w:val="nil"/>
              <w:bottom w:val="nil"/>
              <w:right w:val="nil"/>
            </w:tcBorders>
            <w:shd w:val="clear" w:color="auto" w:fill="auto"/>
            <w:noWrap/>
            <w:vAlign w:val="center"/>
            <w:hideMark/>
          </w:tcPr>
          <w:p w14:paraId="4BEB0B75"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13235BA7" w14:textId="77777777" w:rsidR="007A51F1" w:rsidRPr="007A51F1" w:rsidRDefault="007A51F1" w:rsidP="00D01A9D">
            <w:pPr>
              <w:spacing w:after="0" w:line="240" w:lineRule="auto"/>
              <w:rPr>
                <w:color w:val="000000"/>
              </w:rPr>
            </w:pPr>
            <w:r w:rsidRPr="007A51F1">
              <w:rPr>
                <w:color w:val="000000"/>
              </w:rPr>
              <w:t>.34</w:t>
            </w:r>
          </w:p>
        </w:tc>
        <w:tc>
          <w:tcPr>
            <w:tcW w:w="1683" w:type="dxa"/>
            <w:tcBorders>
              <w:top w:val="nil"/>
              <w:left w:val="nil"/>
              <w:bottom w:val="nil"/>
              <w:right w:val="nil"/>
            </w:tcBorders>
            <w:shd w:val="clear" w:color="auto" w:fill="auto"/>
            <w:noWrap/>
            <w:vAlign w:val="center"/>
            <w:hideMark/>
          </w:tcPr>
          <w:p w14:paraId="4E7FC878" w14:textId="77777777" w:rsidR="007A51F1" w:rsidRPr="007A51F1" w:rsidRDefault="007A51F1" w:rsidP="00D01A9D">
            <w:pPr>
              <w:spacing w:after="0" w:line="240" w:lineRule="auto"/>
              <w:rPr>
                <w:color w:val="000000"/>
              </w:rPr>
            </w:pPr>
            <w:r w:rsidRPr="007A51F1">
              <w:rPr>
                <w:color w:val="000000"/>
              </w:rPr>
              <w:t>.69</w:t>
            </w:r>
          </w:p>
        </w:tc>
      </w:tr>
      <w:tr w:rsidR="00EF3714" w:rsidRPr="007A51F1" w14:paraId="2BB86884" w14:textId="77777777" w:rsidTr="00EF3714">
        <w:trPr>
          <w:trHeight w:val="318"/>
        </w:trPr>
        <w:tc>
          <w:tcPr>
            <w:tcW w:w="2120" w:type="dxa"/>
            <w:tcBorders>
              <w:top w:val="nil"/>
              <w:left w:val="nil"/>
              <w:bottom w:val="nil"/>
              <w:right w:val="nil"/>
            </w:tcBorders>
            <w:shd w:val="clear" w:color="auto" w:fill="auto"/>
            <w:noWrap/>
            <w:vAlign w:val="bottom"/>
            <w:hideMark/>
          </w:tcPr>
          <w:p w14:paraId="3ACB12E9" w14:textId="77777777" w:rsidR="007A51F1" w:rsidRPr="007A51F1" w:rsidRDefault="007A51F1" w:rsidP="007A51F1">
            <w:pPr>
              <w:spacing w:after="0" w:line="240" w:lineRule="auto"/>
              <w:jc w:val="left"/>
              <w:rPr>
                <w:color w:val="000000"/>
              </w:rPr>
            </w:pPr>
            <w:r w:rsidRPr="007A51F1">
              <w:rPr>
                <w:color w:val="000000"/>
              </w:rPr>
              <w:t>Macedonia</w:t>
            </w:r>
          </w:p>
        </w:tc>
        <w:tc>
          <w:tcPr>
            <w:tcW w:w="1395" w:type="dxa"/>
            <w:tcBorders>
              <w:top w:val="nil"/>
              <w:left w:val="nil"/>
              <w:bottom w:val="nil"/>
              <w:right w:val="nil"/>
            </w:tcBorders>
            <w:shd w:val="clear" w:color="auto" w:fill="auto"/>
            <w:noWrap/>
            <w:vAlign w:val="center"/>
            <w:hideMark/>
          </w:tcPr>
          <w:p w14:paraId="1BA13F80" w14:textId="77777777" w:rsidR="007A51F1" w:rsidRPr="007A51F1" w:rsidRDefault="007A51F1" w:rsidP="00D01A9D">
            <w:pPr>
              <w:spacing w:after="0" w:line="240" w:lineRule="auto"/>
              <w:rPr>
                <w:color w:val="000000"/>
              </w:rPr>
            </w:pPr>
            <w:r w:rsidRPr="007A51F1">
              <w:rPr>
                <w:color w:val="000000"/>
              </w:rPr>
              <w:t>.72</w:t>
            </w:r>
          </w:p>
        </w:tc>
        <w:tc>
          <w:tcPr>
            <w:tcW w:w="1306" w:type="dxa"/>
            <w:tcBorders>
              <w:top w:val="nil"/>
              <w:left w:val="nil"/>
              <w:bottom w:val="nil"/>
              <w:right w:val="nil"/>
            </w:tcBorders>
            <w:shd w:val="clear" w:color="auto" w:fill="auto"/>
            <w:noWrap/>
            <w:vAlign w:val="center"/>
            <w:hideMark/>
          </w:tcPr>
          <w:p w14:paraId="140DD696" w14:textId="77777777" w:rsidR="007A51F1" w:rsidRPr="007A51F1" w:rsidRDefault="007A51F1" w:rsidP="00D01A9D">
            <w:pPr>
              <w:spacing w:after="0" w:line="240" w:lineRule="auto"/>
              <w:rPr>
                <w:color w:val="000000"/>
              </w:rPr>
            </w:pPr>
            <w:r w:rsidRPr="007A51F1">
              <w:rPr>
                <w:color w:val="000000"/>
              </w:rPr>
              <w:t>.83</w:t>
            </w:r>
          </w:p>
        </w:tc>
        <w:tc>
          <w:tcPr>
            <w:tcW w:w="1306" w:type="dxa"/>
            <w:tcBorders>
              <w:top w:val="nil"/>
              <w:left w:val="nil"/>
              <w:bottom w:val="nil"/>
              <w:right w:val="nil"/>
            </w:tcBorders>
            <w:shd w:val="clear" w:color="auto" w:fill="auto"/>
            <w:noWrap/>
            <w:vAlign w:val="center"/>
            <w:hideMark/>
          </w:tcPr>
          <w:p w14:paraId="71EDFE19" w14:textId="77777777" w:rsidR="007A51F1" w:rsidRPr="007A51F1" w:rsidRDefault="007A51F1" w:rsidP="00D01A9D">
            <w:pPr>
              <w:spacing w:after="0" w:line="240" w:lineRule="auto"/>
              <w:rPr>
                <w:color w:val="000000"/>
              </w:rPr>
            </w:pPr>
            <w:r w:rsidRPr="007A51F1">
              <w:rPr>
                <w:color w:val="000000"/>
              </w:rPr>
              <w:t>.40</w:t>
            </w:r>
          </w:p>
        </w:tc>
        <w:tc>
          <w:tcPr>
            <w:tcW w:w="1306" w:type="dxa"/>
            <w:tcBorders>
              <w:top w:val="nil"/>
              <w:left w:val="nil"/>
              <w:bottom w:val="nil"/>
              <w:right w:val="nil"/>
            </w:tcBorders>
            <w:shd w:val="clear" w:color="auto" w:fill="auto"/>
            <w:noWrap/>
            <w:vAlign w:val="center"/>
            <w:hideMark/>
          </w:tcPr>
          <w:p w14:paraId="5239FB78" w14:textId="77777777" w:rsidR="007A51F1" w:rsidRPr="007A51F1" w:rsidRDefault="007A51F1" w:rsidP="00D01A9D">
            <w:pPr>
              <w:spacing w:after="0" w:line="240" w:lineRule="auto"/>
              <w:rPr>
                <w:color w:val="000000"/>
              </w:rPr>
            </w:pPr>
            <w:r w:rsidRPr="007A51F1">
              <w:rPr>
                <w:color w:val="000000"/>
              </w:rPr>
              <w:t>.46</w:t>
            </w:r>
          </w:p>
        </w:tc>
        <w:tc>
          <w:tcPr>
            <w:tcW w:w="1683" w:type="dxa"/>
            <w:tcBorders>
              <w:top w:val="nil"/>
              <w:left w:val="nil"/>
              <w:bottom w:val="nil"/>
              <w:right w:val="nil"/>
            </w:tcBorders>
            <w:shd w:val="clear" w:color="auto" w:fill="auto"/>
            <w:noWrap/>
            <w:vAlign w:val="center"/>
            <w:hideMark/>
          </w:tcPr>
          <w:p w14:paraId="15710423" w14:textId="77777777" w:rsidR="007A51F1" w:rsidRPr="007A51F1" w:rsidRDefault="007A51F1" w:rsidP="00D01A9D">
            <w:pPr>
              <w:spacing w:after="0" w:line="240" w:lineRule="auto"/>
              <w:rPr>
                <w:color w:val="000000"/>
              </w:rPr>
            </w:pPr>
            <w:r w:rsidRPr="007A51F1">
              <w:rPr>
                <w:color w:val="000000"/>
              </w:rPr>
              <w:t>.60</w:t>
            </w:r>
          </w:p>
        </w:tc>
      </w:tr>
      <w:tr w:rsidR="00EF3714" w:rsidRPr="007A51F1" w14:paraId="5FFF9F0A" w14:textId="77777777" w:rsidTr="00EF3714">
        <w:trPr>
          <w:trHeight w:val="318"/>
        </w:trPr>
        <w:tc>
          <w:tcPr>
            <w:tcW w:w="2120" w:type="dxa"/>
            <w:tcBorders>
              <w:top w:val="nil"/>
              <w:left w:val="nil"/>
              <w:bottom w:val="nil"/>
              <w:right w:val="nil"/>
            </w:tcBorders>
            <w:shd w:val="clear" w:color="auto" w:fill="auto"/>
            <w:noWrap/>
            <w:vAlign w:val="bottom"/>
            <w:hideMark/>
          </w:tcPr>
          <w:p w14:paraId="5C8E5376" w14:textId="77777777" w:rsidR="007A51F1" w:rsidRPr="007A51F1" w:rsidRDefault="007A51F1" w:rsidP="007A51F1">
            <w:pPr>
              <w:spacing w:after="0" w:line="240" w:lineRule="auto"/>
              <w:jc w:val="left"/>
              <w:rPr>
                <w:color w:val="000000"/>
              </w:rPr>
            </w:pPr>
            <w:r w:rsidRPr="007A51F1">
              <w:rPr>
                <w:color w:val="000000"/>
              </w:rPr>
              <w:t>Malaysia</w:t>
            </w:r>
          </w:p>
        </w:tc>
        <w:tc>
          <w:tcPr>
            <w:tcW w:w="1395" w:type="dxa"/>
            <w:tcBorders>
              <w:top w:val="nil"/>
              <w:left w:val="nil"/>
              <w:bottom w:val="nil"/>
              <w:right w:val="nil"/>
            </w:tcBorders>
            <w:shd w:val="clear" w:color="auto" w:fill="auto"/>
            <w:noWrap/>
            <w:vAlign w:val="center"/>
            <w:hideMark/>
          </w:tcPr>
          <w:p w14:paraId="5B24C8F5" w14:textId="77777777" w:rsidR="007A51F1" w:rsidRPr="007A51F1" w:rsidRDefault="007A51F1" w:rsidP="00D01A9D">
            <w:pPr>
              <w:spacing w:after="0" w:line="240" w:lineRule="auto"/>
              <w:rPr>
                <w:color w:val="000000"/>
              </w:rPr>
            </w:pPr>
            <w:r w:rsidRPr="007A51F1">
              <w:rPr>
                <w:color w:val="000000"/>
              </w:rPr>
              <w:t>.61</w:t>
            </w:r>
          </w:p>
        </w:tc>
        <w:tc>
          <w:tcPr>
            <w:tcW w:w="1306" w:type="dxa"/>
            <w:tcBorders>
              <w:top w:val="nil"/>
              <w:left w:val="nil"/>
              <w:bottom w:val="nil"/>
              <w:right w:val="nil"/>
            </w:tcBorders>
            <w:shd w:val="clear" w:color="auto" w:fill="auto"/>
            <w:noWrap/>
            <w:vAlign w:val="center"/>
            <w:hideMark/>
          </w:tcPr>
          <w:p w14:paraId="2D3E38D8"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47178824" w14:textId="77777777" w:rsidR="007A51F1" w:rsidRPr="007A51F1" w:rsidRDefault="007A51F1" w:rsidP="00D01A9D">
            <w:pPr>
              <w:spacing w:after="0" w:line="240" w:lineRule="auto"/>
              <w:rPr>
                <w:color w:val="000000"/>
              </w:rPr>
            </w:pPr>
            <w:r w:rsidRPr="007A51F1">
              <w:rPr>
                <w:color w:val="000000"/>
              </w:rPr>
              <w:t>.39</w:t>
            </w:r>
          </w:p>
        </w:tc>
        <w:tc>
          <w:tcPr>
            <w:tcW w:w="1306" w:type="dxa"/>
            <w:tcBorders>
              <w:top w:val="nil"/>
              <w:left w:val="nil"/>
              <w:bottom w:val="nil"/>
              <w:right w:val="nil"/>
            </w:tcBorders>
            <w:shd w:val="clear" w:color="auto" w:fill="auto"/>
            <w:noWrap/>
            <w:vAlign w:val="center"/>
            <w:hideMark/>
          </w:tcPr>
          <w:p w14:paraId="6CCEA677" w14:textId="77777777" w:rsidR="007A51F1" w:rsidRPr="007A51F1" w:rsidRDefault="007A51F1" w:rsidP="00D01A9D">
            <w:pPr>
              <w:spacing w:after="0" w:line="240" w:lineRule="auto"/>
              <w:rPr>
                <w:color w:val="000000"/>
              </w:rPr>
            </w:pPr>
            <w:r w:rsidRPr="007A51F1">
              <w:rPr>
                <w:color w:val="000000"/>
              </w:rPr>
              <w:t>.03</w:t>
            </w:r>
          </w:p>
        </w:tc>
        <w:tc>
          <w:tcPr>
            <w:tcW w:w="1683" w:type="dxa"/>
            <w:tcBorders>
              <w:top w:val="nil"/>
              <w:left w:val="nil"/>
              <w:bottom w:val="nil"/>
              <w:right w:val="nil"/>
            </w:tcBorders>
            <w:shd w:val="clear" w:color="auto" w:fill="auto"/>
            <w:noWrap/>
            <w:vAlign w:val="center"/>
            <w:hideMark/>
          </w:tcPr>
          <w:p w14:paraId="4ED517D1" w14:textId="77777777" w:rsidR="007A51F1" w:rsidRPr="007A51F1" w:rsidRDefault="007A51F1" w:rsidP="00D01A9D">
            <w:pPr>
              <w:spacing w:after="0" w:line="240" w:lineRule="auto"/>
              <w:rPr>
                <w:color w:val="000000"/>
              </w:rPr>
            </w:pPr>
            <w:r w:rsidRPr="007A51F1">
              <w:rPr>
                <w:color w:val="000000"/>
              </w:rPr>
              <w:t>.44</w:t>
            </w:r>
          </w:p>
        </w:tc>
      </w:tr>
      <w:tr w:rsidR="00EF3714" w:rsidRPr="007A51F1" w14:paraId="60F469F0" w14:textId="77777777" w:rsidTr="00EF3714">
        <w:trPr>
          <w:trHeight w:val="318"/>
        </w:trPr>
        <w:tc>
          <w:tcPr>
            <w:tcW w:w="2120" w:type="dxa"/>
            <w:tcBorders>
              <w:top w:val="nil"/>
              <w:left w:val="nil"/>
              <w:bottom w:val="nil"/>
              <w:right w:val="nil"/>
            </w:tcBorders>
            <w:shd w:val="clear" w:color="auto" w:fill="auto"/>
            <w:noWrap/>
            <w:vAlign w:val="bottom"/>
            <w:hideMark/>
          </w:tcPr>
          <w:p w14:paraId="6C8534F9" w14:textId="77777777" w:rsidR="007A51F1" w:rsidRPr="007A51F1" w:rsidRDefault="007A51F1" w:rsidP="007A51F1">
            <w:pPr>
              <w:spacing w:after="0" w:line="240" w:lineRule="auto"/>
              <w:jc w:val="left"/>
              <w:rPr>
                <w:color w:val="000000"/>
              </w:rPr>
            </w:pPr>
            <w:r w:rsidRPr="007A51F1">
              <w:rPr>
                <w:color w:val="000000"/>
              </w:rPr>
              <w:t>Mexico</w:t>
            </w:r>
          </w:p>
        </w:tc>
        <w:tc>
          <w:tcPr>
            <w:tcW w:w="1395" w:type="dxa"/>
            <w:tcBorders>
              <w:top w:val="nil"/>
              <w:left w:val="nil"/>
              <w:bottom w:val="nil"/>
              <w:right w:val="nil"/>
            </w:tcBorders>
            <w:shd w:val="clear" w:color="auto" w:fill="auto"/>
            <w:noWrap/>
            <w:vAlign w:val="center"/>
            <w:hideMark/>
          </w:tcPr>
          <w:p w14:paraId="4D4E1557" w14:textId="77777777" w:rsidR="007A51F1" w:rsidRPr="007A51F1" w:rsidRDefault="007A51F1" w:rsidP="00D01A9D">
            <w:pPr>
              <w:spacing w:after="0" w:line="240" w:lineRule="auto"/>
              <w:rPr>
                <w:color w:val="000000"/>
              </w:rPr>
            </w:pPr>
            <w:r w:rsidRPr="007A51F1">
              <w:rPr>
                <w:color w:val="000000"/>
              </w:rPr>
              <w:t>.56</w:t>
            </w:r>
          </w:p>
        </w:tc>
        <w:tc>
          <w:tcPr>
            <w:tcW w:w="1306" w:type="dxa"/>
            <w:tcBorders>
              <w:top w:val="nil"/>
              <w:left w:val="nil"/>
              <w:bottom w:val="nil"/>
              <w:right w:val="nil"/>
            </w:tcBorders>
            <w:shd w:val="clear" w:color="auto" w:fill="auto"/>
            <w:noWrap/>
            <w:vAlign w:val="center"/>
            <w:hideMark/>
          </w:tcPr>
          <w:p w14:paraId="47957F33"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4D3DA423" w14:textId="77777777" w:rsidR="007A51F1" w:rsidRPr="007A51F1" w:rsidRDefault="007A51F1" w:rsidP="00D01A9D">
            <w:pPr>
              <w:spacing w:after="0" w:line="240" w:lineRule="auto"/>
              <w:rPr>
                <w:color w:val="000000"/>
              </w:rPr>
            </w:pPr>
            <w:r w:rsidRPr="007A51F1">
              <w:rPr>
                <w:color w:val="000000"/>
              </w:rPr>
              <w:t>.45</w:t>
            </w:r>
          </w:p>
        </w:tc>
        <w:tc>
          <w:tcPr>
            <w:tcW w:w="1306" w:type="dxa"/>
            <w:tcBorders>
              <w:top w:val="nil"/>
              <w:left w:val="nil"/>
              <w:bottom w:val="nil"/>
              <w:right w:val="nil"/>
            </w:tcBorders>
            <w:shd w:val="clear" w:color="auto" w:fill="auto"/>
            <w:noWrap/>
            <w:vAlign w:val="center"/>
            <w:hideMark/>
          </w:tcPr>
          <w:p w14:paraId="50CEC009" w14:textId="77777777" w:rsidR="007A51F1" w:rsidRPr="007A51F1" w:rsidRDefault="007A51F1" w:rsidP="00D01A9D">
            <w:pPr>
              <w:spacing w:after="0" w:line="240" w:lineRule="auto"/>
              <w:rPr>
                <w:color w:val="000000"/>
              </w:rPr>
            </w:pPr>
            <w:r w:rsidRPr="007A51F1">
              <w:rPr>
                <w:color w:val="000000"/>
              </w:rPr>
              <w:t>.15</w:t>
            </w:r>
          </w:p>
        </w:tc>
        <w:tc>
          <w:tcPr>
            <w:tcW w:w="1683" w:type="dxa"/>
            <w:tcBorders>
              <w:top w:val="nil"/>
              <w:left w:val="nil"/>
              <w:bottom w:val="nil"/>
              <w:right w:val="nil"/>
            </w:tcBorders>
            <w:shd w:val="clear" w:color="auto" w:fill="auto"/>
            <w:noWrap/>
            <w:vAlign w:val="center"/>
            <w:hideMark/>
          </w:tcPr>
          <w:p w14:paraId="26A9F3A3" w14:textId="77777777" w:rsidR="007A51F1" w:rsidRPr="007A51F1" w:rsidRDefault="007A51F1" w:rsidP="00D01A9D">
            <w:pPr>
              <w:spacing w:after="0" w:line="240" w:lineRule="auto"/>
              <w:rPr>
                <w:color w:val="000000"/>
              </w:rPr>
            </w:pPr>
            <w:r w:rsidRPr="007A51F1">
              <w:rPr>
                <w:color w:val="000000"/>
              </w:rPr>
              <w:t>.49</w:t>
            </w:r>
          </w:p>
        </w:tc>
      </w:tr>
      <w:tr w:rsidR="00EF3714" w:rsidRPr="007A51F1" w14:paraId="3752919F" w14:textId="77777777" w:rsidTr="00EF3714">
        <w:trPr>
          <w:trHeight w:val="318"/>
        </w:trPr>
        <w:tc>
          <w:tcPr>
            <w:tcW w:w="2120" w:type="dxa"/>
            <w:tcBorders>
              <w:top w:val="nil"/>
              <w:left w:val="nil"/>
              <w:bottom w:val="nil"/>
              <w:right w:val="nil"/>
            </w:tcBorders>
            <w:shd w:val="clear" w:color="auto" w:fill="auto"/>
            <w:noWrap/>
            <w:vAlign w:val="bottom"/>
            <w:hideMark/>
          </w:tcPr>
          <w:p w14:paraId="1B90FF18" w14:textId="77777777" w:rsidR="007A51F1" w:rsidRPr="007A51F1" w:rsidRDefault="007A51F1" w:rsidP="007A51F1">
            <w:pPr>
              <w:spacing w:after="0" w:line="240" w:lineRule="auto"/>
              <w:jc w:val="left"/>
              <w:rPr>
                <w:color w:val="000000"/>
              </w:rPr>
            </w:pPr>
            <w:r w:rsidRPr="007A51F1">
              <w:rPr>
                <w:color w:val="000000"/>
              </w:rPr>
              <w:t>Netherlands</w:t>
            </w:r>
          </w:p>
        </w:tc>
        <w:tc>
          <w:tcPr>
            <w:tcW w:w="1395" w:type="dxa"/>
            <w:tcBorders>
              <w:top w:val="nil"/>
              <w:left w:val="nil"/>
              <w:bottom w:val="nil"/>
              <w:right w:val="nil"/>
            </w:tcBorders>
            <w:shd w:val="clear" w:color="auto" w:fill="auto"/>
            <w:noWrap/>
            <w:vAlign w:val="center"/>
            <w:hideMark/>
          </w:tcPr>
          <w:p w14:paraId="24970C92"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51C9F024"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4B0E6A45"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030FC711" w14:textId="77777777" w:rsidR="007A51F1" w:rsidRPr="007A51F1" w:rsidRDefault="007A51F1" w:rsidP="00D01A9D">
            <w:pPr>
              <w:spacing w:after="0" w:line="240" w:lineRule="auto"/>
              <w:rPr>
                <w:color w:val="000000"/>
              </w:rPr>
            </w:pPr>
            <w:r w:rsidRPr="007A51F1">
              <w:rPr>
                <w:color w:val="000000"/>
              </w:rPr>
              <w:t>.71</w:t>
            </w:r>
          </w:p>
        </w:tc>
        <w:tc>
          <w:tcPr>
            <w:tcW w:w="1683" w:type="dxa"/>
            <w:tcBorders>
              <w:top w:val="nil"/>
              <w:left w:val="nil"/>
              <w:bottom w:val="nil"/>
              <w:right w:val="nil"/>
            </w:tcBorders>
            <w:shd w:val="clear" w:color="auto" w:fill="auto"/>
            <w:noWrap/>
            <w:vAlign w:val="center"/>
            <w:hideMark/>
          </w:tcPr>
          <w:p w14:paraId="0F547D2B" w14:textId="77777777" w:rsidR="007A51F1" w:rsidRPr="007A51F1" w:rsidRDefault="007A51F1" w:rsidP="00D01A9D">
            <w:pPr>
              <w:spacing w:after="0" w:line="240" w:lineRule="auto"/>
              <w:rPr>
                <w:color w:val="000000"/>
              </w:rPr>
            </w:pPr>
            <w:r w:rsidRPr="007A51F1">
              <w:rPr>
                <w:color w:val="000000"/>
              </w:rPr>
              <w:t>.76</w:t>
            </w:r>
          </w:p>
        </w:tc>
      </w:tr>
      <w:tr w:rsidR="00EF3714" w:rsidRPr="007A51F1" w14:paraId="56BFE2D5" w14:textId="77777777" w:rsidTr="00EF3714">
        <w:trPr>
          <w:trHeight w:val="318"/>
        </w:trPr>
        <w:tc>
          <w:tcPr>
            <w:tcW w:w="2120" w:type="dxa"/>
            <w:tcBorders>
              <w:top w:val="nil"/>
              <w:left w:val="nil"/>
              <w:bottom w:val="nil"/>
              <w:right w:val="nil"/>
            </w:tcBorders>
            <w:shd w:val="clear" w:color="auto" w:fill="auto"/>
            <w:noWrap/>
            <w:vAlign w:val="bottom"/>
            <w:hideMark/>
          </w:tcPr>
          <w:p w14:paraId="75A957AD" w14:textId="77777777" w:rsidR="007A51F1" w:rsidRPr="007A51F1" w:rsidRDefault="007A51F1" w:rsidP="007A51F1">
            <w:pPr>
              <w:spacing w:after="0" w:line="240" w:lineRule="auto"/>
              <w:jc w:val="left"/>
              <w:rPr>
                <w:color w:val="000000"/>
              </w:rPr>
            </w:pPr>
            <w:r w:rsidRPr="007A51F1">
              <w:rPr>
                <w:color w:val="000000"/>
              </w:rPr>
              <w:t>New Zealand</w:t>
            </w:r>
          </w:p>
        </w:tc>
        <w:tc>
          <w:tcPr>
            <w:tcW w:w="1395" w:type="dxa"/>
            <w:tcBorders>
              <w:top w:val="nil"/>
              <w:left w:val="nil"/>
              <w:bottom w:val="nil"/>
              <w:right w:val="nil"/>
            </w:tcBorders>
            <w:shd w:val="clear" w:color="auto" w:fill="auto"/>
            <w:noWrap/>
            <w:vAlign w:val="center"/>
            <w:hideMark/>
          </w:tcPr>
          <w:p w14:paraId="7C957CA8" w14:textId="77777777" w:rsidR="007A51F1" w:rsidRPr="007A51F1" w:rsidRDefault="007A51F1" w:rsidP="00D01A9D">
            <w:pPr>
              <w:spacing w:after="0" w:line="240" w:lineRule="auto"/>
              <w:rPr>
                <w:color w:val="000000"/>
              </w:rPr>
            </w:pPr>
            <w:r w:rsidRPr="007A51F1">
              <w:rPr>
                <w:color w:val="000000"/>
              </w:rPr>
              <w:t>.87</w:t>
            </w:r>
          </w:p>
        </w:tc>
        <w:tc>
          <w:tcPr>
            <w:tcW w:w="1306" w:type="dxa"/>
            <w:tcBorders>
              <w:top w:val="nil"/>
              <w:left w:val="nil"/>
              <w:bottom w:val="nil"/>
              <w:right w:val="nil"/>
            </w:tcBorders>
            <w:shd w:val="clear" w:color="auto" w:fill="auto"/>
            <w:noWrap/>
            <w:vAlign w:val="center"/>
            <w:hideMark/>
          </w:tcPr>
          <w:p w14:paraId="0DDC4021"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5594F8A5" w14:textId="77777777" w:rsidR="007A51F1" w:rsidRPr="007A51F1" w:rsidRDefault="007A51F1" w:rsidP="00D01A9D">
            <w:pPr>
              <w:spacing w:after="0" w:line="240" w:lineRule="auto"/>
              <w:rPr>
                <w:color w:val="000000"/>
              </w:rPr>
            </w:pPr>
            <w:r w:rsidRPr="007A51F1">
              <w:rPr>
                <w:color w:val="000000"/>
              </w:rPr>
              <w:t>.59</w:t>
            </w:r>
          </w:p>
        </w:tc>
        <w:tc>
          <w:tcPr>
            <w:tcW w:w="1306" w:type="dxa"/>
            <w:tcBorders>
              <w:top w:val="nil"/>
              <w:left w:val="nil"/>
              <w:bottom w:val="nil"/>
              <w:right w:val="nil"/>
            </w:tcBorders>
            <w:shd w:val="clear" w:color="auto" w:fill="auto"/>
            <w:noWrap/>
            <w:vAlign w:val="center"/>
            <w:hideMark/>
          </w:tcPr>
          <w:p w14:paraId="4F13B6CB" w14:textId="77777777" w:rsidR="007A51F1" w:rsidRPr="007A51F1" w:rsidRDefault="007A51F1" w:rsidP="00D01A9D">
            <w:pPr>
              <w:spacing w:after="0" w:line="240" w:lineRule="auto"/>
              <w:rPr>
                <w:color w:val="000000"/>
              </w:rPr>
            </w:pPr>
            <w:r w:rsidRPr="007A51F1">
              <w:rPr>
                <w:color w:val="000000"/>
              </w:rPr>
              <w:t>.28</w:t>
            </w:r>
          </w:p>
        </w:tc>
        <w:tc>
          <w:tcPr>
            <w:tcW w:w="1683" w:type="dxa"/>
            <w:tcBorders>
              <w:top w:val="nil"/>
              <w:left w:val="nil"/>
              <w:bottom w:val="nil"/>
              <w:right w:val="nil"/>
            </w:tcBorders>
            <w:shd w:val="clear" w:color="auto" w:fill="auto"/>
            <w:noWrap/>
            <w:vAlign w:val="center"/>
            <w:hideMark/>
          </w:tcPr>
          <w:p w14:paraId="42587651" w14:textId="77777777" w:rsidR="007A51F1" w:rsidRPr="007A51F1" w:rsidRDefault="007A51F1" w:rsidP="00D01A9D">
            <w:pPr>
              <w:spacing w:after="0" w:line="240" w:lineRule="auto"/>
              <w:rPr>
                <w:color w:val="000000"/>
              </w:rPr>
            </w:pPr>
            <w:r w:rsidRPr="007A51F1">
              <w:rPr>
                <w:color w:val="000000"/>
              </w:rPr>
              <w:t>.62</w:t>
            </w:r>
          </w:p>
        </w:tc>
      </w:tr>
      <w:tr w:rsidR="00EF3714" w:rsidRPr="007A51F1" w14:paraId="4F865F5E" w14:textId="77777777" w:rsidTr="00EF3714">
        <w:trPr>
          <w:trHeight w:val="318"/>
        </w:trPr>
        <w:tc>
          <w:tcPr>
            <w:tcW w:w="2120" w:type="dxa"/>
            <w:tcBorders>
              <w:top w:val="nil"/>
              <w:left w:val="nil"/>
              <w:bottom w:val="nil"/>
              <w:right w:val="nil"/>
            </w:tcBorders>
            <w:shd w:val="clear" w:color="auto" w:fill="auto"/>
            <w:noWrap/>
            <w:vAlign w:val="bottom"/>
            <w:hideMark/>
          </w:tcPr>
          <w:p w14:paraId="1A6DE451" w14:textId="77777777" w:rsidR="007A51F1" w:rsidRPr="007A51F1" w:rsidRDefault="007A51F1" w:rsidP="007A51F1">
            <w:pPr>
              <w:spacing w:after="0" w:line="240" w:lineRule="auto"/>
              <w:jc w:val="left"/>
              <w:rPr>
                <w:color w:val="000000"/>
              </w:rPr>
            </w:pPr>
            <w:r w:rsidRPr="007A51F1">
              <w:rPr>
                <w:color w:val="000000"/>
              </w:rPr>
              <w:t>Nigeria</w:t>
            </w:r>
          </w:p>
        </w:tc>
        <w:tc>
          <w:tcPr>
            <w:tcW w:w="1395" w:type="dxa"/>
            <w:tcBorders>
              <w:top w:val="nil"/>
              <w:left w:val="nil"/>
              <w:bottom w:val="nil"/>
              <w:right w:val="nil"/>
            </w:tcBorders>
            <w:shd w:val="clear" w:color="auto" w:fill="auto"/>
            <w:noWrap/>
            <w:vAlign w:val="center"/>
            <w:hideMark/>
          </w:tcPr>
          <w:p w14:paraId="04DCB03A"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21614869" w14:textId="77777777" w:rsidR="007A51F1" w:rsidRPr="007A51F1" w:rsidRDefault="007A51F1" w:rsidP="00D01A9D">
            <w:pPr>
              <w:spacing w:after="0" w:line="240" w:lineRule="auto"/>
              <w:rPr>
                <w:color w:val="000000"/>
              </w:rPr>
            </w:pPr>
            <w:r w:rsidRPr="007A51F1">
              <w:rPr>
                <w:color w:val="000000"/>
              </w:rPr>
              <w:t>.58</w:t>
            </w:r>
          </w:p>
        </w:tc>
        <w:tc>
          <w:tcPr>
            <w:tcW w:w="1306" w:type="dxa"/>
            <w:tcBorders>
              <w:top w:val="nil"/>
              <w:left w:val="nil"/>
              <w:bottom w:val="nil"/>
              <w:right w:val="nil"/>
            </w:tcBorders>
            <w:shd w:val="clear" w:color="auto" w:fill="auto"/>
            <w:noWrap/>
            <w:vAlign w:val="center"/>
            <w:hideMark/>
          </w:tcPr>
          <w:p w14:paraId="2C23A57C" w14:textId="77777777" w:rsidR="007A51F1" w:rsidRPr="007A51F1" w:rsidRDefault="007A51F1" w:rsidP="00D01A9D">
            <w:pPr>
              <w:spacing w:after="0" w:line="240" w:lineRule="auto"/>
              <w:rPr>
                <w:color w:val="000000"/>
              </w:rPr>
            </w:pPr>
            <w:r w:rsidRPr="007A51F1">
              <w:rPr>
                <w:color w:val="000000"/>
              </w:rPr>
              <w:t>.28</w:t>
            </w:r>
          </w:p>
        </w:tc>
        <w:tc>
          <w:tcPr>
            <w:tcW w:w="1306" w:type="dxa"/>
            <w:tcBorders>
              <w:top w:val="nil"/>
              <w:left w:val="nil"/>
              <w:bottom w:val="nil"/>
              <w:right w:val="nil"/>
            </w:tcBorders>
            <w:shd w:val="clear" w:color="auto" w:fill="auto"/>
            <w:noWrap/>
            <w:vAlign w:val="center"/>
            <w:hideMark/>
          </w:tcPr>
          <w:p w14:paraId="6E904881" w14:textId="77777777" w:rsidR="007A51F1" w:rsidRPr="007A51F1" w:rsidRDefault="007A51F1" w:rsidP="00D01A9D">
            <w:pPr>
              <w:spacing w:after="0" w:line="240" w:lineRule="auto"/>
              <w:rPr>
                <w:color w:val="000000"/>
              </w:rPr>
            </w:pPr>
            <w:r w:rsidRPr="007A51F1">
              <w:rPr>
                <w:color w:val="000000"/>
              </w:rPr>
              <w:t>.28</w:t>
            </w:r>
          </w:p>
        </w:tc>
        <w:tc>
          <w:tcPr>
            <w:tcW w:w="1683" w:type="dxa"/>
            <w:tcBorders>
              <w:top w:val="nil"/>
              <w:left w:val="nil"/>
              <w:bottom w:val="nil"/>
              <w:right w:val="nil"/>
            </w:tcBorders>
            <w:shd w:val="clear" w:color="auto" w:fill="auto"/>
            <w:noWrap/>
            <w:vAlign w:val="center"/>
            <w:hideMark/>
          </w:tcPr>
          <w:p w14:paraId="303A817D" w14:textId="77777777" w:rsidR="007A51F1" w:rsidRPr="007A51F1" w:rsidRDefault="007A51F1" w:rsidP="00D01A9D">
            <w:pPr>
              <w:spacing w:after="0" w:line="240" w:lineRule="auto"/>
              <w:rPr>
                <w:color w:val="000000"/>
              </w:rPr>
            </w:pPr>
            <w:r w:rsidRPr="007A51F1">
              <w:rPr>
                <w:color w:val="000000"/>
              </w:rPr>
              <w:t>.48</w:t>
            </w:r>
          </w:p>
        </w:tc>
      </w:tr>
      <w:tr w:rsidR="00EF3714" w:rsidRPr="007A51F1" w14:paraId="63B83B9B" w14:textId="77777777" w:rsidTr="00EF3714">
        <w:trPr>
          <w:trHeight w:val="318"/>
        </w:trPr>
        <w:tc>
          <w:tcPr>
            <w:tcW w:w="2120" w:type="dxa"/>
            <w:tcBorders>
              <w:top w:val="nil"/>
              <w:left w:val="nil"/>
              <w:bottom w:val="nil"/>
              <w:right w:val="nil"/>
            </w:tcBorders>
            <w:shd w:val="clear" w:color="auto" w:fill="auto"/>
            <w:noWrap/>
            <w:vAlign w:val="bottom"/>
            <w:hideMark/>
          </w:tcPr>
          <w:p w14:paraId="71057382" w14:textId="77777777" w:rsidR="007A51F1" w:rsidRPr="007A51F1" w:rsidRDefault="007A51F1" w:rsidP="007A51F1">
            <w:pPr>
              <w:spacing w:after="0" w:line="240" w:lineRule="auto"/>
              <w:jc w:val="left"/>
              <w:rPr>
                <w:color w:val="000000"/>
              </w:rPr>
            </w:pPr>
            <w:r w:rsidRPr="007A51F1">
              <w:rPr>
                <w:color w:val="000000"/>
              </w:rPr>
              <w:t>Norway</w:t>
            </w:r>
          </w:p>
        </w:tc>
        <w:tc>
          <w:tcPr>
            <w:tcW w:w="1395" w:type="dxa"/>
            <w:tcBorders>
              <w:top w:val="nil"/>
              <w:left w:val="nil"/>
              <w:bottom w:val="nil"/>
              <w:right w:val="nil"/>
            </w:tcBorders>
            <w:shd w:val="clear" w:color="auto" w:fill="auto"/>
            <w:noWrap/>
            <w:vAlign w:val="center"/>
            <w:hideMark/>
          </w:tcPr>
          <w:p w14:paraId="792D44AC"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58B083D4"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06BE33E9"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49DA2798" w14:textId="77777777" w:rsidR="007A51F1" w:rsidRPr="007A51F1" w:rsidRDefault="007A51F1" w:rsidP="00D01A9D">
            <w:pPr>
              <w:spacing w:after="0" w:line="240" w:lineRule="auto"/>
              <w:rPr>
                <w:color w:val="000000"/>
              </w:rPr>
            </w:pPr>
            <w:r w:rsidRPr="007A51F1">
              <w:rPr>
                <w:color w:val="000000"/>
              </w:rPr>
              <w:t>.49</w:t>
            </w:r>
          </w:p>
        </w:tc>
        <w:tc>
          <w:tcPr>
            <w:tcW w:w="1683" w:type="dxa"/>
            <w:tcBorders>
              <w:top w:val="nil"/>
              <w:left w:val="nil"/>
              <w:bottom w:val="nil"/>
              <w:right w:val="nil"/>
            </w:tcBorders>
            <w:shd w:val="clear" w:color="auto" w:fill="auto"/>
            <w:noWrap/>
            <w:vAlign w:val="center"/>
            <w:hideMark/>
          </w:tcPr>
          <w:p w14:paraId="512DC3AA" w14:textId="77777777" w:rsidR="007A51F1" w:rsidRPr="007A51F1" w:rsidRDefault="007A51F1" w:rsidP="00D01A9D">
            <w:pPr>
              <w:spacing w:after="0" w:line="240" w:lineRule="auto"/>
              <w:rPr>
                <w:color w:val="000000"/>
              </w:rPr>
            </w:pPr>
            <w:r w:rsidRPr="007A51F1">
              <w:rPr>
                <w:color w:val="000000"/>
              </w:rPr>
              <w:t>.68</w:t>
            </w:r>
          </w:p>
        </w:tc>
      </w:tr>
      <w:tr w:rsidR="00EF3714" w:rsidRPr="007A51F1" w14:paraId="399A1873" w14:textId="77777777" w:rsidTr="00EF3714">
        <w:trPr>
          <w:trHeight w:val="318"/>
        </w:trPr>
        <w:tc>
          <w:tcPr>
            <w:tcW w:w="2120" w:type="dxa"/>
            <w:tcBorders>
              <w:top w:val="nil"/>
              <w:left w:val="nil"/>
              <w:bottom w:val="nil"/>
              <w:right w:val="nil"/>
            </w:tcBorders>
            <w:shd w:val="clear" w:color="auto" w:fill="auto"/>
            <w:noWrap/>
            <w:vAlign w:val="bottom"/>
            <w:hideMark/>
          </w:tcPr>
          <w:p w14:paraId="2DD383E6" w14:textId="77777777" w:rsidR="007A51F1" w:rsidRPr="007A51F1" w:rsidRDefault="007A51F1" w:rsidP="007A51F1">
            <w:pPr>
              <w:spacing w:after="0" w:line="240" w:lineRule="auto"/>
              <w:jc w:val="left"/>
              <w:rPr>
                <w:color w:val="000000"/>
              </w:rPr>
            </w:pPr>
            <w:r w:rsidRPr="007A51F1">
              <w:rPr>
                <w:color w:val="000000"/>
              </w:rPr>
              <w:t>Pakistan</w:t>
            </w:r>
          </w:p>
        </w:tc>
        <w:tc>
          <w:tcPr>
            <w:tcW w:w="1395" w:type="dxa"/>
            <w:tcBorders>
              <w:top w:val="nil"/>
              <w:left w:val="nil"/>
              <w:bottom w:val="nil"/>
              <w:right w:val="nil"/>
            </w:tcBorders>
            <w:shd w:val="clear" w:color="auto" w:fill="auto"/>
            <w:noWrap/>
            <w:vAlign w:val="center"/>
            <w:hideMark/>
          </w:tcPr>
          <w:p w14:paraId="2677D92F" w14:textId="77777777" w:rsidR="007A51F1" w:rsidRPr="007A51F1" w:rsidRDefault="007A51F1" w:rsidP="00D01A9D">
            <w:pPr>
              <w:spacing w:after="0" w:line="240" w:lineRule="auto"/>
              <w:rPr>
                <w:color w:val="000000"/>
              </w:rPr>
            </w:pPr>
            <w:r w:rsidRPr="007A51F1">
              <w:rPr>
                <w:color w:val="000000"/>
              </w:rPr>
              <w:t>.87</w:t>
            </w:r>
          </w:p>
        </w:tc>
        <w:tc>
          <w:tcPr>
            <w:tcW w:w="1306" w:type="dxa"/>
            <w:tcBorders>
              <w:top w:val="nil"/>
              <w:left w:val="nil"/>
              <w:bottom w:val="nil"/>
              <w:right w:val="nil"/>
            </w:tcBorders>
            <w:shd w:val="clear" w:color="auto" w:fill="auto"/>
            <w:noWrap/>
            <w:vAlign w:val="center"/>
            <w:hideMark/>
          </w:tcPr>
          <w:p w14:paraId="5ED3B69D" w14:textId="77777777" w:rsidR="007A51F1" w:rsidRPr="007A51F1" w:rsidRDefault="007A51F1" w:rsidP="00D01A9D">
            <w:pPr>
              <w:spacing w:after="0" w:line="240" w:lineRule="auto"/>
              <w:rPr>
                <w:color w:val="000000"/>
              </w:rPr>
            </w:pPr>
            <w:r w:rsidRPr="007A51F1">
              <w:rPr>
                <w:color w:val="000000"/>
              </w:rPr>
              <w:t>.64</w:t>
            </w:r>
          </w:p>
        </w:tc>
        <w:tc>
          <w:tcPr>
            <w:tcW w:w="1306" w:type="dxa"/>
            <w:tcBorders>
              <w:top w:val="nil"/>
              <w:left w:val="nil"/>
              <w:bottom w:val="nil"/>
              <w:right w:val="nil"/>
            </w:tcBorders>
            <w:shd w:val="clear" w:color="auto" w:fill="auto"/>
            <w:noWrap/>
            <w:vAlign w:val="center"/>
            <w:hideMark/>
          </w:tcPr>
          <w:p w14:paraId="7B119D5E" w14:textId="77777777" w:rsidR="007A51F1" w:rsidRPr="007A51F1" w:rsidRDefault="007A51F1" w:rsidP="00D01A9D">
            <w:pPr>
              <w:spacing w:after="0" w:line="240" w:lineRule="auto"/>
              <w:rPr>
                <w:color w:val="000000"/>
              </w:rPr>
            </w:pPr>
            <w:r w:rsidRPr="007A51F1">
              <w:rPr>
                <w:color w:val="000000"/>
              </w:rPr>
              <w:t>.38</w:t>
            </w:r>
          </w:p>
        </w:tc>
        <w:tc>
          <w:tcPr>
            <w:tcW w:w="1306" w:type="dxa"/>
            <w:tcBorders>
              <w:top w:val="nil"/>
              <w:left w:val="nil"/>
              <w:bottom w:val="nil"/>
              <w:right w:val="nil"/>
            </w:tcBorders>
            <w:shd w:val="clear" w:color="auto" w:fill="auto"/>
            <w:noWrap/>
            <w:vAlign w:val="center"/>
            <w:hideMark/>
          </w:tcPr>
          <w:p w14:paraId="6DCF1469" w14:textId="77777777" w:rsidR="007A51F1" w:rsidRPr="007A51F1" w:rsidRDefault="007A51F1" w:rsidP="00D01A9D">
            <w:pPr>
              <w:spacing w:after="0" w:line="240" w:lineRule="auto"/>
              <w:rPr>
                <w:color w:val="000000"/>
              </w:rPr>
            </w:pPr>
            <w:r w:rsidRPr="007A51F1">
              <w:rPr>
                <w:color w:val="000000"/>
              </w:rPr>
              <w:t>.02</w:t>
            </w:r>
          </w:p>
        </w:tc>
        <w:tc>
          <w:tcPr>
            <w:tcW w:w="1683" w:type="dxa"/>
            <w:tcBorders>
              <w:top w:val="nil"/>
              <w:left w:val="nil"/>
              <w:bottom w:val="nil"/>
              <w:right w:val="nil"/>
            </w:tcBorders>
            <w:shd w:val="clear" w:color="auto" w:fill="auto"/>
            <w:noWrap/>
            <w:vAlign w:val="center"/>
            <w:hideMark/>
          </w:tcPr>
          <w:p w14:paraId="3C4EE453" w14:textId="77777777" w:rsidR="007A51F1" w:rsidRPr="007A51F1" w:rsidRDefault="007A51F1" w:rsidP="00D01A9D">
            <w:pPr>
              <w:spacing w:after="0" w:line="240" w:lineRule="auto"/>
              <w:rPr>
                <w:color w:val="000000"/>
              </w:rPr>
            </w:pPr>
            <w:r w:rsidRPr="007A51F1">
              <w:rPr>
                <w:color w:val="000000"/>
              </w:rPr>
              <w:t>.48</w:t>
            </w:r>
          </w:p>
        </w:tc>
      </w:tr>
      <w:tr w:rsidR="00EF3714" w:rsidRPr="007A51F1" w14:paraId="1D4E08EF" w14:textId="77777777" w:rsidTr="00EF3714">
        <w:trPr>
          <w:trHeight w:val="318"/>
        </w:trPr>
        <w:tc>
          <w:tcPr>
            <w:tcW w:w="2120" w:type="dxa"/>
            <w:tcBorders>
              <w:top w:val="nil"/>
              <w:left w:val="nil"/>
              <w:bottom w:val="nil"/>
              <w:right w:val="nil"/>
            </w:tcBorders>
            <w:shd w:val="clear" w:color="auto" w:fill="auto"/>
            <w:noWrap/>
            <w:vAlign w:val="bottom"/>
            <w:hideMark/>
          </w:tcPr>
          <w:p w14:paraId="67A8B483" w14:textId="77777777" w:rsidR="007A51F1" w:rsidRPr="007A51F1" w:rsidRDefault="007A51F1" w:rsidP="007A51F1">
            <w:pPr>
              <w:spacing w:after="0" w:line="240" w:lineRule="auto"/>
              <w:jc w:val="left"/>
              <w:rPr>
                <w:color w:val="000000"/>
              </w:rPr>
            </w:pPr>
            <w:r w:rsidRPr="007A51F1">
              <w:rPr>
                <w:color w:val="000000"/>
              </w:rPr>
              <w:t>Palestine</w:t>
            </w:r>
          </w:p>
        </w:tc>
        <w:tc>
          <w:tcPr>
            <w:tcW w:w="1395" w:type="dxa"/>
            <w:tcBorders>
              <w:top w:val="nil"/>
              <w:left w:val="nil"/>
              <w:bottom w:val="nil"/>
              <w:right w:val="nil"/>
            </w:tcBorders>
            <w:shd w:val="clear" w:color="auto" w:fill="auto"/>
            <w:noWrap/>
            <w:vAlign w:val="center"/>
            <w:hideMark/>
          </w:tcPr>
          <w:p w14:paraId="4E220365" w14:textId="77777777" w:rsidR="007A51F1" w:rsidRPr="007A51F1" w:rsidRDefault="007A51F1" w:rsidP="00D01A9D">
            <w:pPr>
              <w:spacing w:after="0" w:line="240" w:lineRule="auto"/>
              <w:rPr>
                <w:color w:val="000000"/>
              </w:rPr>
            </w:pPr>
            <w:r w:rsidRPr="007A51F1">
              <w:rPr>
                <w:color w:val="000000"/>
              </w:rPr>
              <w:t>.69</w:t>
            </w:r>
          </w:p>
        </w:tc>
        <w:tc>
          <w:tcPr>
            <w:tcW w:w="1306" w:type="dxa"/>
            <w:tcBorders>
              <w:top w:val="nil"/>
              <w:left w:val="nil"/>
              <w:bottom w:val="nil"/>
              <w:right w:val="nil"/>
            </w:tcBorders>
            <w:shd w:val="clear" w:color="auto" w:fill="auto"/>
            <w:noWrap/>
            <w:vAlign w:val="center"/>
            <w:hideMark/>
          </w:tcPr>
          <w:p w14:paraId="09E9128F" w14:textId="77777777" w:rsidR="007A51F1" w:rsidRPr="007A51F1" w:rsidRDefault="007A51F1" w:rsidP="00D01A9D">
            <w:pPr>
              <w:spacing w:after="0" w:line="240" w:lineRule="auto"/>
              <w:rPr>
                <w:color w:val="000000"/>
              </w:rPr>
            </w:pPr>
            <w:r w:rsidRPr="007A51F1">
              <w:rPr>
                <w:color w:val="000000"/>
              </w:rPr>
              <w:t>.64</w:t>
            </w:r>
          </w:p>
        </w:tc>
        <w:tc>
          <w:tcPr>
            <w:tcW w:w="1306" w:type="dxa"/>
            <w:tcBorders>
              <w:top w:val="nil"/>
              <w:left w:val="nil"/>
              <w:bottom w:val="nil"/>
              <w:right w:val="nil"/>
            </w:tcBorders>
            <w:shd w:val="clear" w:color="auto" w:fill="auto"/>
            <w:noWrap/>
            <w:vAlign w:val="center"/>
            <w:hideMark/>
          </w:tcPr>
          <w:p w14:paraId="4D79BBC2" w14:textId="77777777" w:rsidR="007A51F1" w:rsidRPr="007A51F1" w:rsidRDefault="007A51F1" w:rsidP="00D01A9D">
            <w:pPr>
              <w:spacing w:after="0" w:line="240" w:lineRule="auto"/>
              <w:rPr>
                <w:color w:val="000000"/>
              </w:rPr>
            </w:pPr>
            <w:r w:rsidRPr="007A51F1">
              <w:rPr>
                <w:color w:val="000000"/>
              </w:rPr>
              <w:t>.32</w:t>
            </w:r>
          </w:p>
        </w:tc>
        <w:tc>
          <w:tcPr>
            <w:tcW w:w="1306" w:type="dxa"/>
            <w:tcBorders>
              <w:top w:val="nil"/>
              <w:left w:val="nil"/>
              <w:bottom w:val="nil"/>
              <w:right w:val="nil"/>
            </w:tcBorders>
            <w:shd w:val="clear" w:color="auto" w:fill="auto"/>
            <w:noWrap/>
            <w:vAlign w:val="center"/>
            <w:hideMark/>
          </w:tcPr>
          <w:p w14:paraId="5224EA13" w14:textId="77777777" w:rsidR="007A51F1" w:rsidRPr="007A51F1" w:rsidRDefault="007A51F1" w:rsidP="00D01A9D">
            <w:pPr>
              <w:spacing w:after="0" w:line="240" w:lineRule="auto"/>
              <w:rPr>
                <w:color w:val="000000"/>
              </w:rPr>
            </w:pPr>
            <w:r w:rsidRPr="007A51F1">
              <w:rPr>
                <w:color w:val="000000"/>
              </w:rPr>
              <w:t>.03</w:t>
            </w:r>
          </w:p>
        </w:tc>
        <w:tc>
          <w:tcPr>
            <w:tcW w:w="1683" w:type="dxa"/>
            <w:tcBorders>
              <w:top w:val="nil"/>
              <w:left w:val="nil"/>
              <w:bottom w:val="nil"/>
              <w:right w:val="nil"/>
            </w:tcBorders>
            <w:shd w:val="clear" w:color="auto" w:fill="auto"/>
            <w:noWrap/>
            <w:vAlign w:val="center"/>
            <w:hideMark/>
          </w:tcPr>
          <w:p w14:paraId="6D34CA9E" w14:textId="77777777" w:rsidR="007A51F1" w:rsidRPr="007A51F1" w:rsidRDefault="007A51F1" w:rsidP="00D01A9D">
            <w:pPr>
              <w:spacing w:after="0" w:line="240" w:lineRule="auto"/>
              <w:rPr>
                <w:color w:val="000000"/>
              </w:rPr>
            </w:pPr>
            <w:r w:rsidRPr="007A51F1">
              <w:rPr>
                <w:color w:val="000000"/>
              </w:rPr>
              <w:t>.42</w:t>
            </w:r>
          </w:p>
        </w:tc>
      </w:tr>
      <w:tr w:rsidR="00EF3714" w:rsidRPr="007A51F1" w14:paraId="2CDE5D31" w14:textId="77777777" w:rsidTr="00EF3714">
        <w:trPr>
          <w:trHeight w:val="318"/>
        </w:trPr>
        <w:tc>
          <w:tcPr>
            <w:tcW w:w="2120" w:type="dxa"/>
            <w:tcBorders>
              <w:top w:val="nil"/>
              <w:left w:val="nil"/>
              <w:bottom w:val="nil"/>
              <w:right w:val="nil"/>
            </w:tcBorders>
            <w:shd w:val="clear" w:color="auto" w:fill="auto"/>
            <w:noWrap/>
            <w:vAlign w:val="bottom"/>
            <w:hideMark/>
          </w:tcPr>
          <w:p w14:paraId="55B98447" w14:textId="77777777" w:rsidR="007A51F1" w:rsidRPr="007A51F1" w:rsidRDefault="007A51F1" w:rsidP="007A51F1">
            <w:pPr>
              <w:spacing w:after="0" w:line="240" w:lineRule="auto"/>
              <w:jc w:val="left"/>
              <w:rPr>
                <w:color w:val="000000"/>
              </w:rPr>
            </w:pPr>
            <w:r w:rsidRPr="007A51F1">
              <w:rPr>
                <w:color w:val="000000"/>
              </w:rPr>
              <w:t>Peru</w:t>
            </w:r>
          </w:p>
        </w:tc>
        <w:tc>
          <w:tcPr>
            <w:tcW w:w="1395" w:type="dxa"/>
            <w:tcBorders>
              <w:top w:val="nil"/>
              <w:left w:val="nil"/>
              <w:bottom w:val="nil"/>
              <w:right w:val="nil"/>
            </w:tcBorders>
            <w:shd w:val="clear" w:color="auto" w:fill="auto"/>
            <w:noWrap/>
            <w:vAlign w:val="center"/>
            <w:hideMark/>
          </w:tcPr>
          <w:p w14:paraId="49146E43" w14:textId="77777777" w:rsidR="007A51F1" w:rsidRPr="007A51F1" w:rsidRDefault="007A51F1" w:rsidP="00D01A9D">
            <w:pPr>
              <w:spacing w:after="0" w:line="240" w:lineRule="auto"/>
              <w:rPr>
                <w:color w:val="000000"/>
              </w:rPr>
            </w:pPr>
            <w:r w:rsidRPr="007A51F1">
              <w:rPr>
                <w:color w:val="000000"/>
              </w:rPr>
              <w:t>.81</w:t>
            </w:r>
          </w:p>
        </w:tc>
        <w:tc>
          <w:tcPr>
            <w:tcW w:w="1306" w:type="dxa"/>
            <w:tcBorders>
              <w:top w:val="nil"/>
              <w:left w:val="nil"/>
              <w:bottom w:val="nil"/>
              <w:right w:val="nil"/>
            </w:tcBorders>
            <w:shd w:val="clear" w:color="auto" w:fill="auto"/>
            <w:noWrap/>
            <w:vAlign w:val="center"/>
            <w:hideMark/>
          </w:tcPr>
          <w:p w14:paraId="2FD6CB58"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5E43C1FD" w14:textId="77777777" w:rsidR="007A51F1" w:rsidRPr="007A51F1" w:rsidRDefault="007A51F1" w:rsidP="00D01A9D">
            <w:pPr>
              <w:spacing w:after="0" w:line="240" w:lineRule="auto"/>
              <w:rPr>
                <w:color w:val="000000"/>
              </w:rPr>
            </w:pPr>
            <w:r w:rsidRPr="007A51F1">
              <w:rPr>
                <w:color w:val="000000"/>
              </w:rPr>
              <w:t>.71</w:t>
            </w:r>
          </w:p>
        </w:tc>
        <w:tc>
          <w:tcPr>
            <w:tcW w:w="1306" w:type="dxa"/>
            <w:tcBorders>
              <w:top w:val="nil"/>
              <w:left w:val="nil"/>
              <w:bottom w:val="nil"/>
              <w:right w:val="nil"/>
            </w:tcBorders>
            <w:shd w:val="clear" w:color="auto" w:fill="auto"/>
            <w:noWrap/>
            <w:vAlign w:val="center"/>
            <w:hideMark/>
          </w:tcPr>
          <w:p w14:paraId="6875EAA3" w14:textId="77777777" w:rsidR="007A51F1" w:rsidRPr="007A51F1" w:rsidRDefault="007A51F1" w:rsidP="00D01A9D">
            <w:pPr>
              <w:spacing w:after="0" w:line="240" w:lineRule="auto"/>
              <w:rPr>
                <w:color w:val="000000"/>
              </w:rPr>
            </w:pPr>
            <w:r w:rsidRPr="007A51F1">
              <w:rPr>
                <w:color w:val="000000"/>
              </w:rPr>
              <w:t>.58</w:t>
            </w:r>
          </w:p>
        </w:tc>
        <w:tc>
          <w:tcPr>
            <w:tcW w:w="1683" w:type="dxa"/>
            <w:tcBorders>
              <w:top w:val="nil"/>
              <w:left w:val="nil"/>
              <w:bottom w:val="nil"/>
              <w:right w:val="nil"/>
            </w:tcBorders>
            <w:shd w:val="clear" w:color="auto" w:fill="auto"/>
            <w:noWrap/>
            <w:vAlign w:val="center"/>
            <w:hideMark/>
          </w:tcPr>
          <w:p w14:paraId="0EB7665B" w14:textId="77777777" w:rsidR="007A51F1" w:rsidRPr="007A51F1" w:rsidRDefault="007A51F1" w:rsidP="00D01A9D">
            <w:pPr>
              <w:spacing w:after="0" w:line="240" w:lineRule="auto"/>
              <w:rPr>
                <w:color w:val="000000"/>
              </w:rPr>
            </w:pPr>
            <w:r w:rsidRPr="007A51F1">
              <w:rPr>
                <w:color w:val="000000"/>
              </w:rPr>
              <w:t>.71</w:t>
            </w:r>
          </w:p>
        </w:tc>
      </w:tr>
      <w:tr w:rsidR="00EF3714" w:rsidRPr="007A51F1" w14:paraId="10FAEB13" w14:textId="77777777" w:rsidTr="00EF3714">
        <w:trPr>
          <w:trHeight w:val="318"/>
        </w:trPr>
        <w:tc>
          <w:tcPr>
            <w:tcW w:w="2120" w:type="dxa"/>
            <w:tcBorders>
              <w:top w:val="nil"/>
              <w:left w:val="nil"/>
              <w:bottom w:val="nil"/>
              <w:right w:val="nil"/>
            </w:tcBorders>
            <w:shd w:val="clear" w:color="auto" w:fill="auto"/>
            <w:noWrap/>
            <w:vAlign w:val="bottom"/>
            <w:hideMark/>
          </w:tcPr>
          <w:p w14:paraId="69A9FA1D" w14:textId="77777777" w:rsidR="007A51F1" w:rsidRPr="007A51F1" w:rsidRDefault="007A51F1" w:rsidP="007A51F1">
            <w:pPr>
              <w:spacing w:after="0" w:line="240" w:lineRule="auto"/>
              <w:jc w:val="left"/>
              <w:rPr>
                <w:color w:val="000000"/>
              </w:rPr>
            </w:pPr>
            <w:r w:rsidRPr="007A51F1">
              <w:rPr>
                <w:color w:val="000000"/>
              </w:rPr>
              <w:t>Philippines</w:t>
            </w:r>
          </w:p>
        </w:tc>
        <w:tc>
          <w:tcPr>
            <w:tcW w:w="1395" w:type="dxa"/>
            <w:tcBorders>
              <w:top w:val="nil"/>
              <w:left w:val="nil"/>
              <w:bottom w:val="nil"/>
              <w:right w:val="nil"/>
            </w:tcBorders>
            <w:shd w:val="clear" w:color="auto" w:fill="auto"/>
            <w:noWrap/>
            <w:vAlign w:val="center"/>
            <w:hideMark/>
          </w:tcPr>
          <w:p w14:paraId="38ED1828"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7AC48667"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60650F62" w14:textId="77777777" w:rsidR="007A51F1" w:rsidRPr="007A51F1" w:rsidRDefault="007A51F1" w:rsidP="00D01A9D">
            <w:pPr>
              <w:spacing w:after="0" w:line="240" w:lineRule="auto"/>
              <w:rPr>
                <w:color w:val="000000"/>
              </w:rPr>
            </w:pPr>
            <w:r w:rsidRPr="007A51F1">
              <w:rPr>
                <w:color w:val="000000"/>
              </w:rPr>
              <w:t>.62</w:t>
            </w:r>
          </w:p>
        </w:tc>
        <w:tc>
          <w:tcPr>
            <w:tcW w:w="1306" w:type="dxa"/>
            <w:tcBorders>
              <w:top w:val="nil"/>
              <w:left w:val="nil"/>
              <w:bottom w:val="nil"/>
              <w:right w:val="nil"/>
            </w:tcBorders>
            <w:shd w:val="clear" w:color="auto" w:fill="auto"/>
            <w:noWrap/>
            <w:vAlign w:val="center"/>
            <w:hideMark/>
          </w:tcPr>
          <w:p w14:paraId="200C0715" w14:textId="77777777" w:rsidR="007A51F1" w:rsidRPr="007A51F1" w:rsidRDefault="007A51F1" w:rsidP="00D01A9D">
            <w:pPr>
              <w:spacing w:after="0" w:line="240" w:lineRule="auto"/>
              <w:rPr>
                <w:color w:val="000000"/>
              </w:rPr>
            </w:pPr>
            <w:r w:rsidRPr="007A51F1">
              <w:rPr>
                <w:color w:val="000000"/>
              </w:rPr>
              <w:t>.24</w:t>
            </w:r>
          </w:p>
        </w:tc>
        <w:tc>
          <w:tcPr>
            <w:tcW w:w="1683" w:type="dxa"/>
            <w:tcBorders>
              <w:top w:val="nil"/>
              <w:left w:val="nil"/>
              <w:bottom w:val="nil"/>
              <w:right w:val="nil"/>
            </w:tcBorders>
            <w:shd w:val="clear" w:color="auto" w:fill="auto"/>
            <w:noWrap/>
            <w:vAlign w:val="center"/>
            <w:hideMark/>
          </w:tcPr>
          <w:p w14:paraId="08787A5D" w14:textId="77777777" w:rsidR="007A51F1" w:rsidRPr="007A51F1" w:rsidRDefault="007A51F1" w:rsidP="00D01A9D">
            <w:pPr>
              <w:spacing w:after="0" w:line="240" w:lineRule="auto"/>
              <w:rPr>
                <w:color w:val="000000"/>
              </w:rPr>
            </w:pPr>
            <w:r w:rsidRPr="007A51F1">
              <w:rPr>
                <w:color w:val="000000"/>
              </w:rPr>
              <w:t>.57</w:t>
            </w:r>
          </w:p>
        </w:tc>
      </w:tr>
      <w:tr w:rsidR="00EF3714" w:rsidRPr="007A51F1" w14:paraId="2C62325D" w14:textId="77777777" w:rsidTr="00EF3714">
        <w:trPr>
          <w:trHeight w:val="318"/>
        </w:trPr>
        <w:tc>
          <w:tcPr>
            <w:tcW w:w="2120" w:type="dxa"/>
            <w:tcBorders>
              <w:top w:val="nil"/>
              <w:left w:val="nil"/>
              <w:bottom w:val="nil"/>
              <w:right w:val="nil"/>
            </w:tcBorders>
            <w:shd w:val="clear" w:color="auto" w:fill="auto"/>
            <w:noWrap/>
            <w:vAlign w:val="bottom"/>
            <w:hideMark/>
          </w:tcPr>
          <w:p w14:paraId="0518EE9B" w14:textId="77777777" w:rsidR="007A51F1" w:rsidRPr="007A51F1" w:rsidRDefault="007A51F1" w:rsidP="007A51F1">
            <w:pPr>
              <w:spacing w:after="0" w:line="240" w:lineRule="auto"/>
              <w:jc w:val="left"/>
              <w:rPr>
                <w:color w:val="000000"/>
              </w:rPr>
            </w:pPr>
            <w:r w:rsidRPr="007A51F1">
              <w:rPr>
                <w:color w:val="000000"/>
              </w:rPr>
              <w:t>Poland</w:t>
            </w:r>
          </w:p>
        </w:tc>
        <w:tc>
          <w:tcPr>
            <w:tcW w:w="1395" w:type="dxa"/>
            <w:tcBorders>
              <w:top w:val="nil"/>
              <w:left w:val="nil"/>
              <w:bottom w:val="nil"/>
              <w:right w:val="nil"/>
            </w:tcBorders>
            <w:shd w:val="clear" w:color="auto" w:fill="auto"/>
            <w:noWrap/>
            <w:vAlign w:val="center"/>
            <w:hideMark/>
          </w:tcPr>
          <w:p w14:paraId="2886545A"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445EC255" w14:textId="77777777" w:rsidR="007A51F1" w:rsidRPr="007A51F1" w:rsidRDefault="007A51F1" w:rsidP="00D01A9D">
            <w:pPr>
              <w:spacing w:after="0" w:line="240" w:lineRule="auto"/>
              <w:rPr>
                <w:color w:val="000000"/>
              </w:rPr>
            </w:pPr>
            <w:r w:rsidRPr="007A51F1">
              <w:rPr>
                <w:color w:val="000000"/>
              </w:rPr>
              <w:t>.81</w:t>
            </w:r>
          </w:p>
        </w:tc>
        <w:tc>
          <w:tcPr>
            <w:tcW w:w="1306" w:type="dxa"/>
            <w:tcBorders>
              <w:top w:val="nil"/>
              <w:left w:val="nil"/>
              <w:bottom w:val="nil"/>
              <w:right w:val="nil"/>
            </w:tcBorders>
            <w:shd w:val="clear" w:color="auto" w:fill="auto"/>
            <w:noWrap/>
            <w:vAlign w:val="center"/>
            <w:hideMark/>
          </w:tcPr>
          <w:p w14:paraId="02521538"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2204ACC2" w14:textId="77777777" w:rsidR="007A51F1" w:rsidRPr="007A51F1" w:rsidRDefault="007A51F1" w:rsidP="00D01A9D">
            <w:pPr>
              <w:spacing w:after="0" w:line="240" w:lineRule="auto"/>
              <w:rPr>
                <w:color w:val="000000"/>
              </w:rPr>
            </w:pPr>
            <w:r w:rsidRPr="007A51F1">
              <w:rPr>
                <w:color w:val="000000"/>
              </w:rPr>
              <w:t>.48</w:t>
            </w:r>
          </w:p>
        </w:tc>
        <w:tc>
          <w:tcPr>
            <w:tcW w:w="1683" w:type="dxa"/>
            <w:tcBorders>
              <w:top w:val="nil"/>
              <w:left w:val="nil"/>
              <w:bottom w:val="nil"/>
              <w:right w:val="nil"/>
            </w:tcBorders>
            <w:shd w:val="clear" w:color="auto" w:fill="auto"/>
            <w:noWrap/>
            <w:vAlign w:val="center"/>
            <w:hideMark/>
          </w:tcPr>
          <w:p w14:paraId="286456C9" w14:textId="77777777" w:rsidR="007A51F1" w:rsidRPr="007A51F1" w:rsidRDefault="007A51F1" w:rsidP="00D01A9D">
            <w:pPr>
              <w:spacing w:after="0" w:line="240" w:lineRule="auto"/>
              <w:rPr>
                <w:color w:val="000000"/>
              </w:rPr>
            </w:pPr>
            <w:r w:rsidRPr="007A51F1">
              <w:rPr>
                <w:color w:val="000000"/>
              </w:rPr>
              <w:t>.70</w:t>
            </w:r>
          </w:p>
        </w:tc>
      </w:tr>
      <w:tr w:rsidR="00EF3714" w:rsidRPr="007A51F1" w14:paraId="5F400A11" w14:textId="77777777" w:rsidTr="00EF3714">
        <w:trPr>
          <w:trHeight w:val="318"/>
        </w:trPr>
        <w:tc>
          <w:tcPr>
            <w:tcW w:w="2120" w:type="dxa"/>
            <w:tcBorders>
              <w:top w:val="nil"/>
              <w:left w:val="nil"/>
              <w:bottom w:val="nil"/>
              <w:right w:val="nil"/>
            </w:tcBorders>
            <w:shd w:val="clear" w:color="auto" w:fill="auto"/>
            <w:noWrap/>
            <w:vAlign w:val="bottom"/>
            <w:hideMark/>
          </w:tcPr>
          <w:p w14:paraId="4E32EF5A" w14:textId="77777777" w:rsidR="007A51F1" w:rsidRPr="007A51F1" w:rsidRDefault="007A51F1" w:rsidP="007A51F1">
            <w:pPr>
              <w:spacing w:after="0" w:line="240" w:lineRule="auto"/>
              <w:jc w:val="left"/>
              <w:rPr>
                <w:color w:val="000000"/>
              </w:rPr>
            </w:pPr>
            <w:r w:rsidRPr="007A51F1">
              <w:rPr>
                <w:color w:val="000000"/>
              </w:rPr>
              <w:t>Portugal</w:t>
            </w:r>
          </w:p>
        </w:tc>
        <w:tc>
          <w:tcPr>
            <w:tcW w:w="1395" w:type="dxa"/>
            <w:tcBorders>
              <w:top w:val="nil"/>
              <w:left w:val="nil"/>
              <w:bottom w:val="nil"/>
              <w:right w:val="nil"/>
            </w:tcBorders>
            <w:shd w:val="clear" w:color="auto" w:fill="auto"/>
            <w:noWrap/>
            <w:vAlign w:val="center"/>
            <w:hideMark/>
          </w:tcPr>
          <w:p w14:paraId="13153A2C"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306561BB"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3C63222B" w14:textId="77777777" w:rsidR="007A51F1" w:rsidRPr="007A51F1" w:rsidRDefault="007A51F1" w:rsidP="00D01A9D">
            <w:pPr>
              <w:spacing w:after="0" w:line="240" w:lineRule="auto"/>
              <w:rPr>
                <w:color w:val="000000"/>
              </w:rPr>
            </w:pPr>
            <w:r w:rsidRPr="007A51F1">
              <w:rPr>
                <w:color w:val="000000"/>
              </w:rPr>
              <w:t>.59</w:t>
            </w:r>
          </w:p>
        </w:tc>
        <w:tc>
          <w:tcPr>
            <w:tcW w:w="1306" w:type="dxa"/>
            <w:tcBorders>
              <w:top w:val="nil"/>
              <w:left w:val="nil"/>
              <w:bottom w:val="nil"/>
              <w:right w:val="nil"/>
            </w:tcBorders>
            <w:shd w:val="clear" w:color="auto" w:fill="auto"/>
            <w:noWrap/>
            <w:vAlign w:val="center"/>
            <w:hideMark/>
          </w:tcPr>
          <w:p w14:paraId="4222A04A" w14:textId="77777777" w:rsidR="007A51F1" w:rsidRPr="007A51F1" w:rsidRDefault="007A51F1" w:rsidP="00D01A9D">
            <w:pPr>
              <w:spacing w:after="0" w:line="240" w:lineRule="auto"/>
              <w:rPr>
                <w:color w:val="000000"/>
              </w:rPr>
            </w:pPr>
            <w:r w:rsidRPr="007A51F1">
              <w:rPr>
                <w:color w:val="000000"/>
              </w:rPr>
              <w:t>.57</w:t>
            </w:r>
          </w:p>
        </w:tc>
        <w:tc>
          <w:tcPr>
            <w:tcW w:w="1683" w:type="dxa"/>
            <w:tcBorders>
              <w:top w:val="nil"/>
              <w:left w:val="nil"/>
              <w:bottom w:val="nil"/>
              <w:right w:val="nil"/>
            </w:tcBorders>
            <w:shd w:val="clear" w:color="auto" w:fill="auto"/>
            <w:noWrap/>
            <w:vAlign w:val="center"/>
            <w:hideMark/>
          </w:tcPr>
          <w:p w14:paraId="456C1A76" w14:textId="77777777" w:rsidR="007A51F1" w:rsidRPr="007A51F1" w:rsidRDefault="007A51F1" w:rsidP="00D01A9D">
            <w:pPr>
              <w:spacing w:after="0" w:line="240" w:lineRule="auto"/>
              <w:rPr>
                <w:color w:val="000000"/>
              </w:rPr>
            </w:pPr>
            <w:r w:rsidRPr="007A51F1">
              <w:rPr>
                <w:color w:val="000000"/>
              </w:rPr>
              <w:t>.67</w:t>
            </w:r>
          </w:p>
        </w:tc>
      </w:tr>
      <w:tr w:rsidR="00EF3714" w:rsidRPr="007A51F1" w14:paraId="5B9B127D" w14:textId="77777777" w:rsidTr="00EF3714">
        <w:trPr>
          <w:trHeight w:val="318"/>
        </w:trPr>
        <w:tc>
          <w:tcPr>
            <w:tcW w:w="2120" w:type="dxa"/>
            <w:tcBorders>
              <w:top w:val="nil"/>
              <w:left w:val="nil"/>
              <w:bottom w:val="nil"/>
              <w:right w:val="nil"/>
            </w:tcBorders>
            <w:shd w:val="clear" w:color="auto" w:fill="auto"/>
            <w:noWrap/>
            <w:vAlign w:val="bottom"/>
            <w:hideMark/>
          </w:tcPr>
          <w:p w14:paraId="36CF08EA" w14:textId="77777777" w:rsidR="007A51F1" w:rsidRPr="007A51F1" w:rsidRDefault="007A51F1" w:rsidP="007A51F1">
            <w:pPr>
              <w:spacing w:after="0" w:line="240" w:lineRule="auto"/>
              <w:jc w:val="left"/>
              <w:rPr>
                <w:color w:val="000000"/>
              </w:rPr>
            </w:pPr>
            <w:r w:rsidRPr="007A51F1">
              <w:rPr>
                <w:color w:val="000000"/>
              </w:rPr>
              <w:t>Romania</w:t>
            </w:r>
          </w:p>
        </w:tc>
        <w:tc>
          <w:tcPr>
            <w:tcW w:w="1395" w:type="dxa"/>
            <w:tcBorders>
              <w:top w:val="nil"/>
              <w:left w:val="nil"/>
              <w:bottom w:val="nil"/>
              <w:right w:val="nil"/>
            </w:tcBorders>
            <w:shd w:val="clear" w:color="auto" w:fill="auto"/>
            <w:noWrap/>
            <w:vAlign w:val="center"/>
            <w:hideMark/>
          </w:tcPr>
          <w:p w14:paraId="3F95D193"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7195C2B3" w14:textId="77777777" w:rsidR="007A51F1" w:rsidRPr="007A51F1" w:rsidRDefault="007A51F1" w:rsidP="00D01A9D">
            <w:pPr>
              <w:spacing w:after="0" w:line="240" w:lineRule="auto"/>
              <w:rPr>
                <w:color w:val="000000"/>
              </w:rPr>
            </w:pPr>
            <w:r w:rsidRPr="007A51F1">
              <w:rPr>
                <w:color w:val="000000"/>
              </w:rPr>
              <w:t>.72</w:t>
            </w:r>
          </w:p>
        </w:tc>
        <w:tc>
          <w:tcPr>
            <w:tcW w:w="1306" w:type="dxa"/>
            <w:tcBorders>
              <w:top w:val="nil"/>
              <w:left w:val="nil"/>
              <w:bottom w:val="nil"/>
              <w:right w:val="nil"/>
            </w:tcBorders>
            <w:shd w:val="clear" w:color="auto" w:fill="auto"/>
            <w:noWrap/>
            <w:vAlign w:val="center"/>
            <w:hideMark/>
          </w:tcPr>
          <w:p w14:paraId="195B461D"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5D9D8E64" w14:textId="77777777" w:rsidR="007A51F1" w:rsidRPr="007A51F1" w:rsidRDefault="007A51F1" w:rsidP="00D01A9D">
            <w:pPr>
              <w:spacing w:after="0" w:line="240" w:lineRule="auto"/>
              <w:rPr>
                <w:color w:val="000000"/>
              </w:rPr>
            </w:pPr>
            <w:r w:rsidRPr="007A51F1">
              <w:rPr>
                <w:color w:val="000000"/>
              </w:rPr>
              <w:t>.29</w:t>
            </w:r>
          </w:p>
        </w:tc>
        <w:tc>
          <w:tcPr>
            <w:tcW w:w="1683" w:type="dxa"/>
            <w:tcBorders>
              <w:top w:val="nil"/>
              <w:left w:val="nil"/>
              <w:bottom w:val="nil"/>
              <w:right w:val="nil"/>
            </w:tcBorders>
            <w:shd w:val="clear" w:color="auto" w:fill="auto"/>
            <w:noWrap/>
            <w:vAlign w:val="center"/>
            <w:hideMark/>
          </w:tcPr>
          <w:p w14:paraId="006C7397" w14:textId="77777777" w:rsidR="007A51F1" w:rsidRPr="007A51F1" w:rsidRDefault="007A51F1" w:rsidP="00D01A9D">
            <w:pPr>
              <w:spacing w:after="0" w:line="240" w:lineRule="auto"/>
              <w:rPr>
                <w:color w:val="000000"/>
              </w:rPr>
            </w:pPr>
            <w:r w:rsidRPr="007A51F1">
              <w:rPr>
                <w:color w:val="000000"/>
              </w:rPr>
              <w:t>.64</w:t>
            </w:r>
          </w:p>
        </w:tc>
      </w:tr>
      <w:tr w:rsidR="00EF3714" w:rsidRPr="007A51F1" w14:paraId="31C93E57" w14:textId="77777777" w:rsidTr="00EF3714">
        <w:trPr>
          <w:trHeight w:val="318"/>
        </w:trPr>
        <w:tc>
          <w:tcPr>
            <w:tcW w:w="2120" w:type="dxa"/>
            <w:tcBorders>
              <w:top w:val="nil"/>
              <w:left w:val="nil"/>
              <w:bottom w:val="nil"/>
              <w:right w:val="nil"/>
            </w:tcBorders>
            <w:shd w:val="clear" w:color="auto" w:fill="auto"/>
            <w:noWrap/>
            <w:vAlign w:val="bottom"/>
            <w:hideMark/>
          </w:tcPr>
          <w:p w14:paraId="67212CCF" w14:textId="77777777" w:rsidR="007A51F1" w:rsidRPr="007A51F1" w:rsidRDefault="007A51F1" w:rsidP="007A51F1">
            <w:pPr>
              <w:spacing w:after="0" w:line="240" w:lineRule="auto"/>
              <w:jc w:val="left"/>
              <w:rPr>
                <w:color w:val="000000"/>
              </w:rPr>
            </w:pPr>
            <w:r w:rsidRPr="007A51F1">
              <w:rPr>
                <w:color w:val="000000"/>
              </w:rPr>
              <w:t>Russia</w:t>
            </w:r>
          </w:p>
        </w:tc>
        <w:tc>
          <w:tcPr>
            <w:tcW w:w="1395" w:type="dxa"/>
            <w:tcBorders>
              <w:top w:val="nil"/>
              <w:left w:val="nil"/>
              <w:bottom w:val="nil"/>
              <w:right w:val="nil"/>
            </w:tcBorders>
            <w:shd w:val="clear" w:color="auto" w:fill="auto"/>
            <w:noWrap/>
            <w:vAlign w:val="center"/>
            <w:hideMark/>
          </w:tcPr>
          <w:p w14:paraId="7EC0FFF9"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4D29008C" w14:textId="77777777" w:rsidR="007A51F1" w:rsidRPr="007A51F1" w:rsidRDefault="007A51F1" w:rsidP="00D01A9D">
            <w:pPr>
              <w:spacing w:after="0" w:line="240" w:lineRule="auto"/>
              <w:rPr>
                <w:color w:val="000000"/>
              </w:rPr>
            </w:pPr>
            <w:r w:rsidRPr="007A51F1">
              <w:rPr>
                <w:color w:val="000000"/>
              </w:rPr>
              <w:t>.71</w:t>
            </w:r>
          </w:p>
        </w:tc>
        <w:tc>
          <w:tcPr>
            <w:tcW w:w="1306" w:type="dxa"/>
            <w:tcBorders>
              <w:top w:val="nil"/>
              <w:left w:val="nil"/>
              <w:bottom w:val="nil"/>
              <w:right w:val="nil"/>
            </w:tcBorders>
            <w:shd w:val="clear" w:color="auto" w:fill="auto"/>
            <w:noWrap/>
            <w:vAlign w:val="center"/>
            <w:hideMark/>
          </w:tcPr>
          <w:p w14:paraId="3906D5E6"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5648A6A1" w14:textId="77777777" w:rsidR="007A51F1" w:rsidRPr="007A51F1" w:rsidRDefault="007A51F1" w:rsidP="00D01A9D">
            <w:pPr>
              <w:spacing w:after="0" w:line="240" w:lineRule="auto"/>
              <w:rPr>
                <w:color w:val="000000"/>
              </w:rPr>
            </w:pPr>
            <w:r w:rsidRPr="007A51F1">
              <w:rPr>
                <w:color w:val="000000"/>
              </w:rPr>
              <w:t>.46</w:t>
            </w:r>
          </w:p>
        </w:tc>
        <w:tc>
          <w:tcPr>
            <w:tcW w:w="1683" w:type="dxa"/>
            <w:tcBorders>
              <w:top w:val="nil"/>
              <w:left w:val="nil"/>
              <w:bottom w:val="nil"/>
              <w:right w:val="nil"/>
            </w:tcBorders>
            <w:shd w:val="clear" w:color="auto" w:fill="auto"/>
            <w:noWrap/>
            <w:vAlign w:val="center"/>
            <w:hideMark/>
          </w:tcPr>
          <w:p w14:paraId="3C2D52AB" w14:textId="77777777" w:rsidR="007A51F1" w:rsidRPr="007A51F1" w:rsidRDefault="007A51F1" w:rsidP="00D01A9D">
            <w:pPr>
              <w:spacing w:after="0" w:line="240" w:lineRule="auto"/>
              <w:rPr>
                <w:color w:val="000000"/>
              </w:rPr>
            </w:pPr>
            <w:r w:rsidRPr="007A51F1">
              <w:rPr>
                <w:color w:val="000000"/>
              </w:rPr>
              <w:t>.64</w:t>
            </w:r>
          </w:p>
        </w:tc>
      </w:tr>
      <w:tr w:rsidR="00EF3714" w:rsidRPr="007A51F1" w14:paraId="6ED4015A" w14:textId="77777777" w:rsidTr="00EF3714">
        <w:trPr>
          <w:trHeight w:val="318"/>
        </w:trPr>
        <w:tc>
          <w:tcPr>
            <w:tcW w:w="2120" w:type="dxa"/>
            <w:tcBorders>
              <w:top w:val="nil"/>
              <w:left w:val="nil"/>
              <w:bottom w:val="nil"/>
              <w:right w:val="nil"/>
            </w:tcBorders>
            <w:shd w:val="clear" w:color="auto" w:fill="auto"/>
            <w:noWrap/>
            <w:vAlign w:val="bottom"/>
            <w:hideMark/>
          </w:tcPr>
          <w:p w14:paraId="10696FBE" w14:textId="77777777" w:rsidR="007A51F1" w:rsidRPr="007A51F1" w:rsidRDefault="007A51F1" w:rsidP="007A51F1">
            <w:pPr>
              <w:spacing w:after="0" w:line="240" w:lineRule="auto"/>
              <w:jc w:val="left"/>
              <w:rPr>
                <w:color w:val="000000"/>
              </w:rPr>
            </w:pPr>
            <w:r w:rsidRPr="007A51F1">
              <w:rPr>
                <w:color w:val="000000"/>
              </w:rPr>
              <w:t>Senegal</w:t>
            </w:r>
          </w:p>
        </w:tc>
        <w:tc>
          <w:tcPr>
            <w:tcW w:w="1395" w:type="dxa"/>
            <w:tcBorders>
              <w:top w:val="nil"/>
              <w:left w:val="nil"/>
              <w:bottom w:val="nil"/>
              <w:right w:val="nil"/>
            </w:tcBorders>
            <w:shd w:val="clear" w:color="auto" w:fill="auto"/>
            <w:noWrap/>
            <w:vAlign w:val="center"/>
            <w:hideMark/>
          </w:tcPr>
          <w:p w14:paraId="37F08139" w14:textId="77777777" w:rsidR="007A51F1" w:rsidRPr="007A51F1" w:rsidRDefault="007A51F1" w:rsidP="00D01A9D">
            <w:pPr>
              <w:spacing w:after="0" w:line="240" w:lineRule="auto"/>
              <w:rPr>
                <w:color w:val="000000"/>
              </w:rPr>
            </w:pPr>
            <w:r w:rsidRPr="007A51F1">
              <w:rPr>
                <w:color w:val="000000"/>
              </w:rPr>
              <w:t>.46</w:t>
            </w:r>
          </w:p>
        </w:tc>
        <w:tc>
          <w:tcPr>
            <w:tcW w:w="1306" w:type="dxa"/>
            <w:tcBorders>
              <w:top w:val="nil"/>
              <w:left w:val="nil"/>
              <w:bottom w:val="nil"/>
              <w:right w:val="nil"/>
            </w:tcBorders>
            <w:shd w:val="clear" w:color="auto" w:fill="auto"/>
            <w:noWrap/>
            <w:vAlign w:val="center"/>
            <w:hideMark/>
          </w:tcPr>
          <w:p w14:paraId="209A4033" w14:textId="77777777" w:rsidR="007A51F1" w:rsidRPr="007A51F1" w:rsidRDefault="007A51F1" w:rsidP="00D01A9D">
            <w:pPr>
              <w:spacing w:after="0" w:line="240" w:lineRule="auto"/>
              <w:rPr>
                <w:color w:val="000000"/>
              </w:rPr>
            </w:pPr>
            <w:r w:rsidRPr="007A51F1">
              <w:rPr>
                <w:color w:val="000000"/>
              </w:rPr>
              <w:t>.46</w:t>
            </w:r>
          </w:p>
        </w:tc>
        <w:tc>
          <w:tcPr>
            <w:tcW w:w="1306" w:type="dxa"/>
            <w:tcBorders>
              <w:top w:val="nil"/>
              <w:left w:val="nil"/>
              <w:bottom w:val="nil"/>
              <w:right w:val="nil"/>
            </w:tcBorders>
            <w:shd w:val="clear" w:color="auto" w:fill="auto"/>
            <w:noWrap/>
            <w:vAlign w:val="center"/>
            <w:hideMark/>
          </w:tcPr>
          <w:p w14:paraId="589DABDC" w14:textId="77777777" w:rsidR="007A51F1" w:rsidRPr="007A51F1" w:rsidRDefault="007A51F1" w:rsidP="00D01A9D">
            <w:pPr>
              <w:spacing w:after="0" w:line="240" w:lineRule="auto"/>
              <w:rPr>
                <w:color w:val="000000"/>
              </w:rPr>
            </w:pPr>
            <w:r w:rsidRPr="007A51F1">
              <w:rPr>
                <w:color w:val="000000"/>
              </w:rPr>
              <w:t>.22</w:t>
            </w:r>
          </w:p>
        </w:tc>
        <w:tc>
          <w:tcPr>
            <w:tcW w:w="1306" w:type="dxa"/>
            <w:tcBorders>
              <w:top w:val="nil"/>
              <w:left w:val="nil"/>
              <w:bottom w:val="nil"/>
              <w:right w:val="nil"/>
            </w:tcBorders>
            <w:shd w:val="clear" w:color="auto" w:fill="auto"/>
            <w:noWrap/>
            <w:vAlign w:val="center"/>
            <w:hideMark/>
          </w:tcPr>
          <w:p w14:paraId="33D6EDC4" w14:textId="77777777" w:rsidR="007A51F1" w:rsidRPr="007A51F1" w:rsidRDefault="007A51F1" w:rsidP="00D01A9D">
            <w:pPr>
              <w:spacing w:after="0" w:line="240" w:lineRule="auto"/>
              <w:rPr>
                <w:color w:val="000000"/>
              </w:rPr>
            </w:pPr>
            <w:r w:rsidRPr="007A51F1">
              <w:rPr>
                <w:color w:val="000000"/>
              </w:rPr>
              <w:t>.11</w:t>
            </w:r>
          </w:p>
        </w:tc>
        <w:tc>
          <w:tcPr>
            <w:tcW w:w="1683" w:type="dxa"/>
            <w:tcBorders>
              <w:top w:val="nil"/>
              <w:left w:val="nil"/>
              <w:bottom w:val="nil"/>
              <w:right w:val="nil"/>
            </w:tcBorders>
            <w:shd w:val="clear" w:color="auto" w:fill="auto"/>
            <w:noWrap/>
            <w:vAlign w:val="center"/>
            <w:hideMark/>
          </w:tcPr>
          <w:p w14:paraId="576C3FAF" w14:textId="77777777" w:rsidR="007A51F1" w:rsidRPr="007A51F1" w:rsidRDefault="007A51F1" w:rsidP="00D01A9D">
            <w:pPr>
              <w:spacing w:after="0" w:line="240" w:lineRule="auto"/>
              <w:rPr>
                <w:color w:val="000000"/>
              </w:rPr>
            </w:pPr>
            <w:r w:rsidRPr="007A51F1">
              <w:rPr>
                <w:color w:val="000000"/>
              </w:rPr>
              <w:t>.31</w:t>
            </w:r>
          </w:p>
        </w:tc>
      </w:tr>
      <w:tr w:rsidR="00EF3714" w:rsidRPr="007A51F1" w14:paraId="584EB8E0" w14:textId="77777777" w:rsidTr="00EF3714">
        <w:trPr>
          <w:trHeight w:val="318"/>
        </w:trPr>
        <w:tc>
          <w:tcPr>
            <w:tcW w:w="2120" w:type="dxa"/>
            <w:tcBorders>
              <w:top w:val="nil"/>
              <w:left w:val="nil"/>
              <w:bottom w:val="nil"/>
              <w:right w:val="nil"/>
            </w:tcBorders>
            <w:shd w:val="clear" w:color="auto" w:fill="auto"/>
            <w:noWrap/>
            <w:vAlign w:val="bottom"/>
            <w:hideMark/>
          </w:tcPr>
          <w:p w14:paraId="5644BF4C" w14:textId="77777777" w:rsidR="007A51F1" w:rsidRPr="007A51F1" w:rsidRDefault="007A51F1" w:rsidP="007A51F1">
            <w:pPr>
              <w:spacing w:after="0" w:line="240" w:lineRule="auto"/>
              <w:jc w:val="left"/>
              <w:rPr>
                <w:color w:val="000000"/>
              </w:rPr>
            </w:pPr>
            <w:r w:rsidRPr="007A51F1">
              <w:rPr>
                <w:color w:val="000000"/>
              </w:rPr>
              <w:t>Serbia</w:t>
            </w:r>
          </w:p>
        </w:tc>
        <w:tc>
          <w:tcPr>
            <w:tcW w:w="1395" w:type="dxa"/>
            <w:tcBorders>
              <w:top w:val="nil"/>
              <w:left w:val="nil"/>
              <w:bottom w:val="nil"/>
              <w:right w:val="nil"/>
            </w:tcBorders>
            <w:shd w:val="clear" w:color="auto" w:fill="auto"/>
            <w:noWrap/>
            <w:vAlign w:val="center"/>
            <w:hideMark/>
          </w:tcPr>
          <w:p w14:paraId="266BAC24" w14:textId="77777777" w:rsidR="007A51F1" w:rsidRPr="007A51F1" w:rsidRDefault="007A51F1" w:rsidP="00D01A9D">
            <w:pPr>
              <w:spacing w:after="0" w:line="240" w:lineRule="auto"/>
              <w:rPr>
                <w:color w:val="000000"/>
              </w:rPr>
            </w:pPr>
            <w:r w:rsidRPr="007A51F1">
              <w:rPr>
                <w:color w:val="000000"/>
              </w:rPr>
              <w:t>.90</w:t>
            </w:r>
          </w:p>
        </w:tc>
        <w:tc>
          <w:tcPr>
            <w:tcW w:w="1306" w:type="dxa"/>
            <w:tcBorders>
              <w:top w:val="nil"/>
              <w:left w:val="nil"/>
              <w:bottom w:val="nil"/>
              <w:right w:val="nil"/>
            </w:tcBorders>
            <w:shd w:val="clear" w:color="auto" w:fill="auto"/>
            <w:noWrap/>
            <w:vAlign w:val="center"/>
            <w:hideMark/>
          </w:tcPr>
          <w:p w14:paraId="0BB79947"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nil"/>
              <w:right w:val="nil"/>
            </w:tcBorders>
            <w:shd w:val="clear" w:color="auto" w:fill="auto"/>
            <w:noWrap/>
            <w:vAlign w:val="center"/>
            <w:hideMark/>
          </w:tcPr>
          <w:p w14:paraId="1D7FF51D" w14:textId="77777777" w:rsidR="007A51F1" w:rsidRPr="007A51F1" w:rsidRDefault="007A51F1" w:rsidP="00D01A9D">
            <w:pPr>
              <w:spacing w:after="0" w:line="240" w:lineRule="auto"/>
              <w:rPr>
                <w:color w:val="000000"/>
              </w:rPr>
            </w:pPr>
            <w:r w:rsidRPr="007A51F1">
              <w:rPr>
                <w:color w:val="000000"/>
              </w:rPr>
              <w:t>.64</w:t>
            </w:r>
          </w:p>
        </w:tc>
        <w:tc>
          <w:tcPr>
            <w:tcW w:w="1306" w:type="dxa"/>
            <w:tcBorders>
              <w:top w:val="nil"/>
              <w:left w:val="nil"/>
              <w:bottom w:val="nil"/>
              <w:right w:val="nil"/>
            </w:tcBorders>
            <w:shd w:val="clear" w:color="auto" w:fill="auto"/>
            <w:noWrap/>
            <w:vAlign w:val="center"/>
            <w:hideMark/>
          </w:tcPr>
          <w:p w14:paraId="50EB157A" w14:textId="77777777" w:rsidR="007A51F1" w:rsidRPr="007A51F1" w:rsidRDefault="007A51F1" w:rsidP="00D01A9D">
            <w:pPr>
              <w:spacing w:after="0" w:line="240" w:lineRule="auto"/>
              <w:rPr>
                <w:color w:val="000000"/>
              </w:rPr>
            </w:pPr>
            <w:r w:rsidRPr="007A51F1">
              <w:rPr>
                <w:color w:val="000000"/>
              </w:rPr>
              <w:t>.42</w:t>
            </w:r>
          </w:p>
        </w:tc>
        <w:tc>
          <w:tcPr>
            <w:tcW w:w="1683" w:type="dxa"/>
            <w:tcBorders>
              <w:top w:val="nil"/>
              <w:left w:val="nil"/>
              <w:bottom w:val="nil"/>
              <w:right w:val="nil"/>
            </w:tcBorders>
            <w:shd w:val="clear" w:color="auto" w:fill="auto"/>
            <w:noWrap/>
            <w:vAlign w:val="center"/>
            <w:hideMark/>
          </w:tcPr>
          <w:p w14:paraId="65A3CF25" w14:textId="77777777" w:rsidR="007A51F1" w:rsidRPr="007A51F1" w:rsidRDefault="007A51F1" w:rsidP="00D01A9D">
            <w:pPr>
              <w:spacing w:after="0" w:line="240" w:lineRule="auto"/>
              <w:rPr>
                <w:color w:val="000000"/>
              </w:rPr>
            </w:pPr>
            <w:r w:rsidRPr="007A51F1">
              <w:rPr>
                <w:color w:val="000000"/>
              </w:rPr>
              <w:t>.69</w:t>
            </w:r>
          </w:p>
        </w:tc>
      </w:tr>
      <w:tr w:rsidR="00EF3714" w:rsidRPr="007A51F1" w14:paraId="6D908CA4" w14:textId="77777777" w:rsidTr="00EF3714">
        <w:trPr>
          <w:trHeight w:val="318"/>
        </w:trPr>
        <w:tc>
          <w:tcPr>
            <w:tcW w:w="2120" w:type="dxa"/>
            <w:tcBorders>
              <w:top w:val="nil"/>
              <w:left w:val="nil"/>
              <w:bottom w:val="nil"/>
              <w:right w:val="nil"/>
            </w:tcBorders>
            <w:shd w:val="clear" w:color="auto" w:fill="auto"/>
            <w:noWrap/>
            <w:vAlign w:val="bottom"/>
            <w:hideMark/>
          </w:tcPr>
          <w:p w14:paraId="5F173B92" w14:textId="77777777" w:rsidR="007A51F1" w:rsidRPr="007A51F1" w:rsidRDefault="007A51F1" w:rsidP="007A51F1">
            <w:pPr>
              <w:spacing w:after="0" w:line="240" w:lineRule="auto"/>
              <w:jc w:val="left"/>
              <w:rPr>
                <w:color w:val="000000"/>
              </w:rPr>
            </w:pPr>
            <w:r w:rsidRPr="007A51F1">
              <w:rPr>
                <w:color w:val="000000"/>
              </w:rPr>
              <w:t>Singapore</w:t>
            </w:r>
          </w:p>
        </w:tc>
        <w:tc>
          <w:tcPr>
            <w:tcW w:w="1395" w:type="dxa"/>
            <w:tcBorders>
              <w:top w:val="nil"/>
              <w:left w:val="nil"/>
              <w:bottom w:val="nil"/>
              <w:right w:val="nil"/>
            </w:tcBorders>
            <w:shd w:val="clear" w:color="auto" w:fill="auto"/>
            <w:noWrap/>
            <w:vAlign w:val="center"/>
            <w:hideMark/>
          </w:tcPr>
          <w:p w14:paraId="195533D9" w14:textId="77777777" w:rsidR="007A51F1" w:rsidRPr="007A51F1" w:rsidRDefault="007A51F1" w:rsidP="00D01A9D">
            <w:pPr>
              <w:spacing w:after="0" w:line="240" w:lineRule="auto"/>
              <w:rPr>
                <w:color w:val="000000"/>
              </w:rPr>
            </w:pPr>
            <w:r w:rsidRPr="007A51F1">
              <w:rPr>
                <w:color w:val="000000"/>
              </w:rPr>
              <w:t>.87</w:t>
            </w:r>
          </w:p>
        </w:tc>
        <w:tc>
          <w:tcPr>
            <w:tcW w:w="1306" w:type="dxa"/>
            <w:tcBorders>
              <w:top w:val="nil"/>
              <w:left w:val="nil"/>
              <w:bottom w:val="nil"/>
              <w:right w:val="nil"/>
            </w:tcBorders>
            <w:shd w:val="clear" w:color="auto" w:fill="auto"/>
            <w:noWrap/>
            <w:vAlign w:val="center"/>
            <w:hideMark/>
          </w:tcPr>
          <w:p w14:paraId="74B2BD35" w14:textId="77777777" w:rsidR="007A51F1" w:rsidRPr="007A51F1" w:rsidRDefault="007A51F1" w:rsidP="00D01A9D">
            <w:pPr>
              <w:spacing w:after="0" w:line="240" w:lineRule="auto"/>
              <w:rPr>
                <w:color w:val="000000"/>
              </w:rPr>
            </w:pPr>
            <w:r w:rsidRPr="007A51F1">
              <w:rPr>
                <w:color w:val="000000"/>
              </w:rPr>
              <w:t>.85</w:t>
            </w:r>
          </w:p>
        </w:tc>
        <w:tc>
          <w:tcPr>
            <w:tcW w:w="1306" w:type="dxa"/>
            <w:tcBorders>
              <w:top w:val="nil"/>
              <w:left w:val="nil"/>
              <w:bottom w:val="nil"/>
              <w:right w:val="nil"/>
            </w:tcBorders>
            <w:shd w:val="clear" w:color="auto" w:fill="auto"/>
            <w:noWrap/>
            <w:vAlign w:val="center"/>
            <w:hideMark/>
          </w:tcPr>
          <w:p w14:paraId="08118EFF" w14:textId="77777777" w:rsidR="007A51F1" w:rsidRPr="007A51F1" w:rsidRDefault="007A51F1" w:rsidP="00D01A9D">
            <w:pPr>
              <w:spacing w:after="0" w:line="240" w:lineRule="auto"/>
              <w:rPr>
                <w:color w:val="000000"/>
              </w:rPr>
            </w:pPr>
            <w:r w:rsidRPr="007A51F1">
              <w:rPr>
                <w:color w:val="000000"/>
              </w:rPr>
              <w:t>.60</w:t>
            </w:r>
          </w:p>
        </w:tc>
        <w:tc>
          <w:tcPr>
            <w:tcW w:w="1306" w:type="dxa"/>
            <w:tcBorders>
              <w:top w:val="nil"/>
              <w:left w:val="nil"/>
              <w:bottom w:val="nil"/>
              <w:right w:val="nil"/>
            </w:tcBorders>
            <w:shd w:val="clear" w:color="auto" w:fill="auto"/>
            <w:noWrap/>
            <w:vAlign w:val="center"/>
            <w:hideMark/>
          </w:tcPr>
          <w:p w14:paraId="24A7801D" w14:textId="77777777" w:rsidR="007A51F1" w:rsidRPr="007A51F1" w:rsidRDefault="007A51F1" w:rsidP="00D01A9D">
            <w:pPr>
              <w:spacing w:after="0" w:line="240" w:lineRule="auto"/>
              <w:rPr>
                <w:color w:val="000000"/>
              </w:rPr>
            </w:pPr>
            <w:r w:rsidRPr="007A51F1">
              <w:rPr>
                <w:color w:val="000000"/>
              </w:rPr>
              <w:t>.40</w:t>
            </w:r>
          </w:p>
        </w:tc>
        <w:tc>
          <w:tcPr>
            <w:tcW w:w="1683" w:type="dxa"/>
            <w:tcBorders>
              <w:top w:val="nil"/>
              <w:left w:val="nil"/>
              <w:bottom w:val="nil"/>
              <w:right w:val="nil"/>
            </w:tcBorders>
            <w:shd w:val="clear" w:color="auto" w:fill="auto"/>
            <w:noWrap/>
            <w:vAlign w:val="center"/>
            <w:hideMark/>
          </w:tcPr>
          <w:p w14:paraId="48EAAA35" w14:textId="77777777" w:rsidR="007A51F1" w:rsidRPr="007A51F1" w:rsidRDefault="007A51F1" w:rsidP="00D01A9D">
            <w:pPr>
              <w:spacing w:after="0" w:line="240" w:lineRule="auto"/>
              <w:rPr>
                <w:color w:val="000000"/>
              </w:rPr>
            </w:pPr>
            <w:r w:rsidRPr="007A51F1">
              <w:rPr>
                <w:color w:val="000000"/>
              </w:rPr>
              <w:t>.68</w:t>
            </w:r>
          </w:p>
        </w:tc>
      </w:tr>
      <w:tr w:rsidR="00EF3714" w:rsidRPr="007A51F1" w14:paraId="13F81AD7" w14:textId="77777777" w:rsidTr="00EF3714">
        <w:trPr>
          <w:trHeight w:val="318"/>
        </w:trPr>
        <w:tc>
          <w:tcPr>
            <w:tcW w:w="2120" w:type="dxa"/>
            <w:tcBorders>
              <w:top w:val="nil"/>
              <w:left w:val="nil"/>
              <w:bottom w:val="nil"/>
              <w:right w:val="nil"/>
            </w:tcBorders>
            <w:shd w:val="clear" w:color="auto" w:fill="auto"/>
            <w:noWrap/>
            <w:vAlign w:val="bottom"/>
            <w:hideMark/>
          </w:tcPr>
          <w:p w14:paraId="5D70642A" w14:textId="77777777" w:rsidR="007A51F1" w:rsidRPr="007A51F1" w:rsidRDefault="007A51F1" w:rsidP="007A51F1">
            <w:pPr>
              <w:spacing w:after="0" w:line="240" w:lineRule="auto"/>
              <w:jc w:val="left"/>
              <w:rPr>
                <w:color w:val="000000"/>
              </w:rPr>
            </w:pPr>
            <w:r w:rsidRPr="007A51F1">
              <w:rPr>
                <w:color w:val="000000"/>
              </w:rPr>
              <w:t>Slovakia</w:t>
            </w:r>
          </w:p>
        </w:tc>
        <w:tc>
          <w:tcPr>
            <w:tcW w:w="1395" w:type="dxa"/>
            <w:tcBorders>
              <w:top w:val="nil"/>
              <w:left w:val="nil"/>
              <w:bottom w:val="nil"/>
              <w:right w:val="nil"/>
            </w:tcBorders>
            <w:shd w:val="clear" w:color="auto" w:fill="auto"/>
            <w:noWrap/>
            <w:vAlign w:val="center"/>
            <w:hideMark/>
          </w:tcPr>
          <w:p w14:paraId="3BBF9160"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3F38DBDA"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03571B15"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3FB6A2C9" w14:textId="77777777" w:rsidR="007A51F1" w:rsidRPr="007A51F1" w:rsidRDefault="007A51F1" w:rsidP="00D01A9D">
            <w:pPr>
              <w:spacing w:after="0" w:line="240" w:lineRule="auto"/>
              <w:rPr>
                <w:color w:val="000000"/>
              </w:rPr>
            </w:pPr>
            <w:r w:rsidRPr="007A51F1">
              <w:rPr>
                <w:color w:val="000000"/>
              </w:rPr>
              <w:t>.37</w:t>
            </w:r>
          </w:p>
        </w:tc>
        <w:tc>
          <w:tcPr>
            <w:tcW w:w="1683" w:type="dxa"/>
            <w:tcBorders>
              <w:top w:val="nil"/>
              <w:left w:val="nil"/>
              <w:bottom w:val="nil"/>
              <w:right w:val="nil"/>
            </w:tcBorders>
            <w:shd w:val="clear" w:color="auto" w:fill="auto"/>
            <w:noWrap/>
            <w:vAlign w:val="center"/>
            <w:hideMark/>
          </w:tcPr>
          <w:p w14:paraId="5C8FCEA9" w14:textId="77777777" w:rsidR="007A51F1" w:rsidRPr="007A51F1" w:rsidRDefault="007A51F1" w:rsidP="00D01A9D">
            <w:pPr>
              <w:spacing w:after="0" w:line="240" w:lineRule="auto"/>
              <w:rPr>
                <w:color w:val="000000"/>
              </w:rPr>
            </w:pPr>
            <w:r w:rsidRPr="007A51F1">
              <w:rPr>
                <w:color w:val="000000"/>
              </w:rPr>
              <w:t>.63</w:t>
            </w:r>
          </w:p>
        </w:tc>
      </w:tr>
      <w:tr w:rsidR="00EF3714" w:rsidRPr="007A51F1" w14:paraId="1C91BC1C" w14:textId="77777777" w:rsidTr="00EF3714">
        <w:trPr>
          <w:trHeight w:val="318"/>
        </w:trPr>
        <w:tc>
          <w:tcPr>
            <w:tcW w:w="2120" w:type="dxa"/>
            <w:tcBorders>
              <w:top w:val="nil"/>
              <w:left w:val="nil"/>
              <w:bottom w:val="nil"/>
              <w:right w:val="nil"/>
            </w:tcBorders>
            <w:shd w:val="clear" w:color="auto" w:fill="auto"/>
            <w:noWrap/>
            <w:vAlign w:val="bottom"/>
            <w:hideMark/>
          </w:tcPr>
          <w:p w14:paraId="302A5DBB" w14:textId="77777777" w:rsidR="007A51F1" w:rsidRPr="007A51F1" w:rsidRDefault="007A51F1" w:rsidP="007A51F1">
            <w:pPr>
              <w:spacing w:after="0" w:line="240" w:lineRule="auto"/>
              <w:jc w:val="left"/>
              <w:rPr>
                <w:color w:val="000000"/>
              </w:rPr>
            </w:pPr>
            <w:r w:rsidRPr="007A51F1">
              <w:rPr>
                <w:color w:val="000000"/>
              </w:rPr>
              <w:t>Slovenia</w:t>
            </w:r>
          </w:p>
        </w:tc>
        <w:tc>
          <w:tcPr>
            <w:tcW w:w="1395" w:type="dxa"/>
            <w:tcBorders>
              <w:top w:val="nil"/>
              <w:left w:val="nil"/>
              <w:bottom w:val="nil"/>
              <w:right w:val="nil"/>
            </w:tcBorders>
            <w:shd w:val="clear" w:color="auto" w:fill="auto"/>
            <w:noWrap/>
            <w:vAlign w:val="center"/>
            <w:hideMark/>
          </w:tcPr>
          <w:p w14:paraId="645AAE8A"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nil"/>
              <w:right w:val="nil"/>
            </w:tcBorders>
            <w:shd w:val="clear" w:color="auto" w:fill="auto"/>
            <w:noWrap/>
            <w:vAlign w:val="center"/>
            <w:hideMark/>
          </w:tcPr>
          <w:p w14:paraId="05E6DBA6"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048517EB" w14:textId="77777777" w:rsidR="007A51F1" w:rsidRPr="007A51F1" w:rsidRDefault="007A51F1" w:rsidP="00D01A9D">
            <w:pPr>
              <w:spacing w:after="0" w:line="240" w:lineRule="auto"/>
              <w:rPr>
                <w:color w:val="000000"/>
              </w:rPr>
            </w:pPr>
            <w:r w:rsidRPr="007A51F1">
              <w:rPr>
                <w:color w:val="000000"/>
              </w:rPr>
              <w:t>.52</w:t>
            </w:r>
          </w:p>
        </w:tc>
        <w:tc>
          <w:tcPr>
            <w:tcW w:w="1306" w:type="dxa"/>
            <w:tcBorders>
              <w:top w:val="nil"/>
              <w:left w:val="nil"/>
              <w:bottom w:val="nil"/>
              <w:right w:val="nil"/>
            </w:tcBorders>
            <w:shd w:val="clear" w:color="auto" w:fill="auto"/>
            <w:noWrap/>
            <w:vAlign w:val="center"/>
            <w:hideMark/>
          </w:tcPr>
          <w:p w14:paraId="00F35716" w14:textId="77777777" w:rsidR="007A51F1" w:rsidRPr="007A51F1" w:rsidRDefault="007A51F1" w:rsidP="00D01A9D">
            <w:pPr>
              <w:spacing w:after="0" w:line="240" w:lineRule="auto"/>
              <w:rPr>
                <w:color w:val="000000"/>
              </w:rPr>
            </w:pPr>
            <w:r w:rsidRPr="007A51F1">
              <w:rPr>
                <w:color w:val="000000"/>
              </w:rPr>
              <w:t>.48</w:t>
            </w:r>
          </w:p>
        </w:tc>
        <w:tc>
          <w:tcPr>
            <w:tcW w:w="1683" w:type="dxa"/>
            <w:tcBorders>
              <w:top w:val="nil"/>
              <w:left w:val="nil"/>
              <w:bottom w:val="nil"/>
              <w:right w:val="nil"/>
            </w:tcBorders>
            <w:shd w:val="clear" w:color="auto" w:fill="auto"/>
            <w:noWrap/>
            <w:vAlign w:val="center"/>
            <w:hideMark/>
          </w:tcPr>
          <w:p w14:paraId="126089C3" w14:textId="77777777" w:rsidR="007A51F1" w:rsidRPr="007A51F1" w:rsidRDefault="007A51F1" w:rsidP="00D01A9D">
            <w:pPr>
              <w:spacing w:after="0" w:line="240" w:lineRule="auto"/>
              <w:rPr>
                <w:color w:val="000000"/>
              </w:rPr>
            </w:pPr>
            <w:r w:rsidRPr="007A51F1">
              <w:rPr>
                <w:color w:val="000000"/>
              </w:rPr>
              <w:t>.64</w:t>
            </w:r>
          </w:p>
        </w:tc>
      </w:tr>
      <w:tr w:rsidR="00EF3714" w:rsidRPr="007A51F1" w14:paraId="0D3AEC76" w14:textId="77777777" w:rsidTr="00EF3714">
        <w:trPr>
          <w:trHeight w:val="318"/>
        </w:trPr>
        <w:tc>
          <w:tcPr>
            <w:tcW w:w="2120" w:type="dxa"/>
            <w:tcBorders>
              <w:top w:val="nil"/>
              <w:left w:val="nil"/>
              <w:bottom w:val="nil"/>
              <w:right w:val="nil"/>
            </w:tcBorders>
            <w:shd w:val="clear" w:color="auto" w:fill="auto"/>
            <w:noWrap/>
            <w:vAlign w:val="bottom"/>
            <w:hideMark/>
          </w:tcPr>
          <w:p w14:paraId="1DEA3AFB" w14:textId="77777777" w:rsidR="007A51F1" w:rsidRPr="007A51F1" w:rsidRDefault="007A51F1" w:rsidP="007A51F1">
            <w:pPr>
              <w:spacing w:after="0" w:line="240" w:lineRule="auto"/>
              <w:jc w:val="left"/>
              <w:rPr>
                <w:color w:val="000000"/>
              </w:rPr>
            </w:pPr>
            <w:r w:rsidRPr="007A51F1">
              <w:rPr>
                <w:color w:val="000000"/>
              </w:rPr>
              <w:t>South Africa</w:t>
            </w:r>
          </w:p>
        </w:tc>
        <w:tc>
          <w:tcPr>
            <w:tcW w:w="1395" w:type="dxa"/>
            <w:tcBorders>
              <w:top w:val="nil"/>
              <w:left w:val="nil"/>
              <w:bottom w:val="nil"/>
              <w:right w:val="nil"/>
            </w:tcBorders>
            <w:shd w:val="clear" w:color="auto" w:fill="auto"/>
            <w:noWrap/>
            <w:vAlign w:val="center"/>
            <w:hideMark/>
          </w:tcPr>
          <w:p w14:paraId="3DE55EE0"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23759599"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70F8E50C"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1777EEBB" w14:textId="77777777" w:rsidR="007A51F1" w:rsidRPr="007A51F1" w:rsidRDefault="007A51F1" w:rsidP="00D01A9D">
            <w:pPr>
              <w:spacing w:after="0" w:line="240" w:lineRule="auto"/>
              <w:rPr>
                <w:color w:val="000000"/>
              </w:rPr>
            </w:pPr>
            <w:r w:rsidRPr="007A51F1">
              <w:rPr>
                <w:color w:val="000000"/>
              </w:rPr>
              <w:t>.37</w:t>
            </w:r>
          </w:p>
        </w:tc>
        <w:tc>
          <w:tcPr>
            <w:tcW w:w="1683" w:type="dxa"/>
            <w:tcBorders>
              <w:top w:val="nil"/>
              <w:left w:val="nil"/>
              <w:bottom w:val="nil"/>
              <w:right w:val="nil"/>
            </w:tcBorders>
            <w:shd w:val="clear" w:color="auto" w:fill="auto"/>
            <w:noWrap/>
            <w:vAlign w:val="center"/>
            <w:hideMark/>
          </w:tcPr>
          <w:p w14:paraId="6F0E28AA" w14:textId="77777777" w:rsidR="007A51F1" w:rsidRPr="007A51F1" w:rsidRDefault="007A51F1" w:rsidP="00D01A9D">
            <w:pPr>
              <w:spacing w:after="0" w:line="240" w:lineRule="auto"/>
              <w:rPr>
                <w:color w:val="000000"/>
              </w:rPr>
            </w:pPr>
            <w:r w:rsidRPr="007A51F1">
              <w:rPr>
                <w:color w:val="000000"/>
              </w:rPr>
              <w:t>.66</w:t>
            </w:r>
          </w:p>
        </w:tc>
      </w:tr>
      <w:tr w:rsidR="00EF3714" w:rsidRPr="007A51F1" w14:paraId="631BB3DB" w14:textId="77777777" w:rsidTr="00EF3714">
        <w:trPr>
          <w:trHeight w:val="318"/>
        </w:trPr>
        <w:tc>
          <w:tcPr>
            <w:tcW w:w="2120" w:type="dxa"/>
            <w:tcBorders>
              <w:top w:val="nil"/>
              <w:left w:val="nil"/>
              <w:bottom w:val="nil"/>
              <w:right w:val="nil"/>
            </w:tcBorders>
            <w:shd w:val="clear" w:color="auto" w:fill="auto"/>
            <w:noWrap/>
            <w:vAlign w:val="bottom"/>
            <w:hideMark/>
          </w:tcPr>
          <w:p w14:paraId="288E1128" w14:textId="77777777" w:rsidR="007A51F1" w:rsidRPr="007A51F1" w:rsidRDefault="007A51F1" w:rsidP="007A51F1">
            <w:pPr>
              <w:spacing w:after="0" w:line="240" w:lineRule="auto"/>
              <w:jc w:val="left"/>
              <w:rPr>
                <w:color w:val="000000"/>
              </w:rPr>
            </w:pPr>
            <w:r w:rsidRPr="007A51F1">
              <w:rPr>
                <w:color w:val="000000"/>
              </w:rPr>
              <w:t>South Korea</w:t>
            </w:r>
          </w:p>
        </w:tc>
        <w:tc>
          <w:tcPr>
            <w:tcW w:w="1395" w:type="dxa"/>
            <w:tcBorders>
              <w:top w:val="nil"/>
              <w:left w:val="nil"/>
              <w:bottom w:val="nil"/>
              <w:right w:val="nil"/>
            </w:tcBorders>
            <w:shd w:val="clear" w:color="auto" w:fill="auto"/>
            <w:noWrap/>
            <w:vAlign w:val="center"/>
            <w:hideMark/>
          </w:tcPr>
          <w:p w14:paraId="6D34FE66" w14:textId="77777777" w:rsidR="007A51F1" w:rsidRPr="007A51F1" w:rsidRDefault="007A51F1" w:rsidP="00D01A9D">
            <w:pPr>
              <w:spacing w:after="0" w:line="240" w:lineRule="auto"/>
              <w:rPr>
                <w:color w:val="000000"/>
              </w:rPr>
            </w:pPr>
            <w:r w:rsidRPr="007A51F1">
              <w:rPr>
                <w:color w:val="000000"/>
              </w:rPr>
              <w:t>.83</w:t>
            </w:r>
          </w:p>
        </w:tc>
        <w:tc>
          <w:tcPr>
            <w:tcW w:w="1306" w:type="dxa"/>
            <w:tcBorders>
              <w:top w:val="nil"/>
              <w:left w:val="nil"/>
              <w:bottom w:val="nil"/>
              <w:right w:val="nil"/>
            </w:tcBorders>
            <w:shd w:val="clear" w:color="auto" w:fill="auto"/>
            <w:noWrap/>
            <w:vAlign w:val="center"/>
            <w:hideMark/>
          </w:tcPr>
          <w:p w14:paraId="25108B36" w14:textId="77777777" w:rsidR="007A51F1" w:rsidRPr="007A51F1" w:rsidRDefault="007A51F1" w:rsidP="00D01A9D">
            <w:pPr>
              <w:spacing w:after="0" w:line="240" w:lineRule="auto"/>
              <w:rPr>
                <w:color w:val="000000"/>
              </w:rPr>
            </w:pPr>
            <w:r w:rsidRPr="007A51F1">
              <w:rPr>
                <w:color w:val="000000"/>
              </w:rPr>
              <w:t>.81</w:t>
            </w:r>
          </w:p>
        </w:tc>
        <w:tc>
          <w:tcPr>
            <w:tcW w:w="1306" w:type="dxa"/>
            <w:tcBorders>
              <w:top w:val="nil"/>
              <w:left w:val="nil"/>
              <w:bottom w:val="nil"/>
              <w:right w:val="nil"/>
            </w:tcBorders>
            <w:shd w:val="clear" w:color="auto" w:fill="auto"/>
            <w:noWrap/>
            <w:vAlign w:val="center"/>
            <w:hideMark/>
          </w:tcPr>
          <w:p w14:paraId="06B96FB6"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12FF4B79" w14:textId="77777777" w:rsidR="007A51F1" w:rsidRPr="007A51F1" w:rsidRDefault="007A51F1" w:rsidP="00D01A9D">
            <w:pPr>
              <w:spacing w:after="0" w:line="240" w:lineRule="auto"/>
              <w:rPr>
                <w:color w:val="000000"/>
              </w:rPr>
            </w:pPr>
            <w:r w:rsidRPr="007A51F1">
              <w:rPr>
                <w:color w:val="000000"/>
              </w:rPr>
              <w:t>.50</w:t>
            </w:r>
          </w:p>
        </w:tc>
        <w:tc>
          <w:tcPr>
            <w:tcW w:w="1683" w:type="dxa"/>
            <w:tcBorders>
              <w:top w:val="nil"/>
              <w:left w:val="nil"/>
              <w:bottom w:val="nil"/>
              <w:right w:val="nil"/>
            </w:tcBorders>
            <w:shd w:val="clear" w:color="auto" w:fill="auto"/>
            <w:noWrap/>
            <w:vAlign w:val="center"/>
            <w:hideMark/>
          </w:tcPr>
          <w:p w14:paraId="66FF16D4" w14:textId="77777777" w:rsidR="007A51F1" w:rsidRPr="007A51F1" w:rsidRDefault="007A51F1" w:rsidP="00D01A9D">
            <w:pPr>
              <w:spacing w:after="0" w:line="240" w:lineRule="auto"/>
              <w:rPr>
                <w:color w:val="000000"/>
              </w:rPr>
            </w:pPr>
            <w:r w:rsidRPr="007A51F1">
              <w:rPr>
                <w:color w:val="000000"/>
              </w:rPr>
              <w:t>.72</w:t>
            </w:r>
          </w:p>
        </w:tc>
      </w:tr>
      <w:tr w:rsidR="00EF3714" w:rsidRPr="007A51F1" w14:paraId="04E7FFC4" w14:textId="77777777" w:rsidTr="00EF3714">
        <w:trPr>
          <w:trHeight w:val="318"/>
        </w:trPr>
        <w:tc>
          <w:tcPr>
            <w:tcW w:w="2120" w:type="dxa"/>
            <w:tcBorders>
              <w:top w:val="nil"/>
              <w:left w:val="nil"/>
              <w:bottom w:val="nil"/>
              <w:right w:val="nil"/>
            </w:tcBorders>
            <w:shd w:val="clear" w:color="auto" w:fill="auto"/>
            <w:noWrap/>
            <w:vAlign w:val="bottom"/>
            <w:hideMark/>
          </w:tcPr>
          <w:p w14:paraId="38CFC787" w14:textId="77777777" w:rsidR="007A51F1" w:rsidRPr="007A51F1" w:rsidRDefault="007A51F1" w:rsidP="007A51F1">
            <w:pPr>
              <w:spacing w:after="0" w:line="240" w:lineRule="auto"/>
              <w:jc w:val="left"/>
              <w:rPr>
                <w:color w:val="000000"/>
              </w:rPr>
            </w:pPr>
            <w:r w:rsidRPr="007A51F1">
              <w:rPr>
                <w:color w:val="000000"/>
              </w:rPr>
              <w:t>Spain</w:t>
            </w:r>
          </w:p>
        </w:tc>
        <w:tc>
          <w:tcPr>
            <w:tcW w:w="1395" w:type="dxa"/>
            <w:tcBorders>
              <w:top w:val="nil"/>
              <w:left w:val="nil"/>
              <w:bottom w:val="nil"/>
              <w:right w:val="nil"/>
            </w:tcBorders>
            <w:shd w:val="clear" w:color="auto" w:fill="auto"/>
            <w:noWrap/>
            <w:vAlign w:val="center"/>
            <w:hideMark/>
          </w:tcPr>
          <w:p w14:paraId="16266042"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59479220" w14:textId="77777777" w:rsidR="007A51F1" w:rsidRPr="007A51F1" w:rsidRDefault="007A51F1" w:rsidP="00D01A9D">
            <w:pPr>
              <w:spacing w:after="0" w:line="240" w:lineRule="auto"/>
              <w:rPr>
                <w:color w:val="000000"/>
              </w:rPr>
            </w:pPr>
            <w:r w:rsidRPr="007A51F1">
              <w:rPr>
                <w:color w:val="000000"/>
              </w:rPr>
              <w:t>.73</w:t>
            </w:r>
          </w:p>
        </w:tc>
        <w:tc>
          <w:tcPr>
            <w:tcW w:w="1306" w:type="dxa"/>
            <w:tcBorders>
              <w:top w:val="nil"/>
              <w:left w:val="nil"/>
              <w:bottom w:val="nil"/>
              <w:right w:val="nil"/>
            </w:tcBorders>
            <w:shd w:val="clear" w:color="auto" w:fill="auto"/>
            <w:noWrap/>
            <w:vAlign w:val="center"/>
            <w:hideMark/>
          </w:tcPr>
          <w:p w14:paraId="29BDC0C6"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6F993C07" w14:textId="77777777" w:rsidR="007A51F1" w:rsidRPr="007A51F1" w:rsidRDefault="007A51F1" w:rsidP="00D01A9D">
            <w:pPr>
              <w:spacing w:after="0" w:line="240" w:lineRule="auto"/>
              <w:rPr>
                <w:color w:val="000000"/>
              </w:rPr>
            </w:pPr>
            <w:r w:rsidRPr="007A51F1">
              <w:rPr>
                <w:color w:val="000000"/>
              </w:rPr>
              <w:t>.64</w:t>
            </w:r>
          </w:p>
        </w:tc>
        <w:tc>
          <w:tcPr>
            <w:tcW w:w="1683" w:type="dxa"/>
            <w:tcBorders>
              <w:top w:val="nil"/>
              <w:left w:val="nil"/>
              <w:bottom w:val="nil"/>
              <w:right w:val="nil"/>
            </w:tcBorders>
            <w:shd w:val="clear" w:color="auto" w:fill="auto"/>
            <w:noWrap/>
            <w:vAlign w:val="center"/>
            <w:hideMark/>
          </w:tcPr>
          <w:p w14:paraId="64A0B90C" w14:textId="77777777" w:rsidR="007A51F1" w:rsidRPr="007A51F1" w:rsidRDefault="007A51F1" w:rsidP="00D01A9D">
            <w:pPr>
              <w:spacing w:after="0" w:line="240" w:lineRule="auto"/>
              <w:rPr>
                <w:color w:val="000000"/>
              </w:rPr>
            </w:pPr>
            <w:r w:rsidRPr="007A51F1">
              <w:rPr>
                <w:color w:val="000000"/>
              </w:rPr>
              <w:t>.68</w:t>
            </w:r>
          </w:p>
        </w:tc>
      </w:tr>
      <w:tr w:rsidR="00EF3714" w:rsidRPr="007A51F1" w14:paraId="27FB8811" w14:textId="77777777" w:rsidTr="00EF3714">
        <w:trPr>
          <w:trHeight w:val="318"/>
        </w:trPr>
        <w:tc>
          <w:tcPr>
            <w:tcW w:w="2120" w:type="dxa"/>
            <w:tcBorders>
              <w:top w:val="nil"/>
              <w:left w:val="nil"/>
              <w:bottom w:val="nil"/>
              <w:right w:val="nil"/>
            </w:tcBorders>
            <w:shd w:val="clear" w:color="auto" w:fill="auto"/>
            <w:noWrap/>
            <w:vAlign w:val="bottom"/>
            <w:hideMark/>
          </w:tcPr>
          <w:p w14:paraId="534BC616" w14:textId="77777777" w:rsidR="007A51F1" w:rsidRPr="007A51F1" w:rsidRDefault="007A51F1" w:rsidP="007A51F1">
            <w:pPr>
              <w:spacing w:after="0" w:line="240" w:lineRule="auto"/>
              <w:jc w:val="left"/>
              <w:rPr>
                <w:color w:val="000000"/>
              </w:rPr>
            </w:pPr>
            <w:r w:rsidRPr="007A51F1">
              <w:rPr>
                <w:color w:val="000000"/>
              </w:rPr>
              <w:t>Sweden</w:t>
            </w:r>
          </w:p>
        </w:tc>
        <w:tc>
          <w:tcPr>
            <w:tcW w:w="1395" w:type="dxa"/>
            <w:tcBorders>
              <w:top w:val="nil"/>
              <w:left w:val="nil"/>
              <w:bottom w:val="nil"/>
              <w:right w:val="nil"/>
            </w:tcBorders>
            <w:shd w:val="clear" w:color="auto" w:fill="auto"/>
            <w:noWrap/>
            <w:vAlign w:val="center"/>
            <w:hideMark/>
          </w:tcPr>
          <w:p w14:paraId="1CFB2990" w14:textId="77777777" w:rsidR="007A51F1" w:rsidRPr="007A51F1" w:rsidRDefault="007A51F1" w:rsidP="00D01A9D">
            <w:pPr>
              <w:spacing w:after="0" w:line="240" w:lineRule="auto"/>
              <w:rPr>
                <w:color w:val="000000"/>
              </w:rPr>
            </w:pPr>
            <w:r w:rsidRPr="007A51F1">
              <w:rPr>
                <w:color w:val="000000"/>
              </w:rPr>
              <w:t>.80</w:t>
            </w:r>
          </w:p>
        </w:tc>
        <w:tc>
          <w:tcPr>
            <w:tcW w:w="1306" w:type="dxa"/>
            <w:tcBorders>
              <w:top w:val="nil"/>
              <w:left w:val="nil"/>
              <w:bottom w:val="nil"/>
              <w:right w:val="nil"/>
            </w:tcBorders>
            <w:shd w:val="clear" w:color="auto" w:fill="auto"/>
            <w:noWrap/>
            <w:vAlign w:val="center"/>
            <w:hideMark/>
          </w:tcPr>
          <w:p w14:paraId="6A763E8B" w14:textId="77777777" w:rsidR="007A51F1" w:rsidRPr="007A51F1" w:rsidRDefault="007A51F1" w:rsidP="00D01A9D">
            <w:pPr>
              <w:spacing w:after="0" w:line="240" w:lineRule="auto"/>
              <w:rPr>
                <w:color w:val="000000"/>
              </w:rPr>
            </w:pPr>
            <w:r w:rsidRPr="007A51F1">
              <w:rPr>
                <w:color w:val="000000"/>
              </w:rPr>
              <w:t>.82</w:t>
            </w:r>
          </w:p>
        </w:tc>
        <w:tc>
          <w:tcPr>
            <w:tcW w:w="1306" w:type="dxa"/>
            <w:tcBorders>
              <w:top w:val="nil"/>
              <w:left w:val="nil"/>
              <w:bottom w:val="nil"/>
              <w:right w:val="nil"/>
            </w:tcBorders>
            <w:shd w:val="clear" w:color="auto" w:fill="auto"/>
            <w:noWrap/>
            <w:vAlign w:val="center"/>
            <w:hideMark/>
          </w:tcPr>
          <w:p w14:paraId="554A5467"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1F94E191" w14:textId="77777777" w:rsidR="007A51F1" w:rsidRPr="007A51F1" w:rsidRDefault="007A51F1" w:rsidP="00D01A9D">
            <w:pPr>
              <w:spacing w:after="0" w:line="240" w:lineRule="auto"/>
              <w:rPr>
                <w:color w:val="000000"/>
              </w:rPr>
            </w:pPr>
            <w:r w:rsidRPr="007A51F1">
              <w:rPr>
                <w:color w:val="000000"/>
              </w:rPr>
              <w:t>.54</w:t>
            </w:r>
          </w:p>
        </w:tc>
        <w:tc>
          <w:tcPr>
            <w:tcW w:w="1683" w:type="dxa"/>
            <w:tcBorders>
              <w:top w:val="nil"/>
              <w:left w:val="nil"/>
              <w:bottom w:val="nil"/>
              <w:right w:val="nil"/>
            </w:tcBorders>
            <w:shd w:val="clear" w:color="auto" w:fill="auto"/>
            <w:noWrap/>
            <w:vAlign w:val="center"/>
            <w:hideMark/>
          </w:tcPr>
          <w:p w14:paraId="2D9E2B9A" w14:textId="77777777" w:rsidR="007A51F1" w:rsidRPr="007A51F1" w:rsidRDefault="007A51F1" w:rsidP="00D01A9D">
            <w:pPr>
              <w:spacing w:after="0" w:line="240" w:lineRule="auto"/>
              <w:rPr>
                <w:color w:val="000000"/>
              </w:rPr>
            </w:pPr>
            <w:r w:rsidRPr="007A51F1">
              <w:rPr>
                <w:color w:val="000000"/>
              </w:rPr>
              <w:t>.73</w:t>
            </w:r>
          </w:p>
        </w:tc>
      </w:tr>
      <w:tr w:rsidR="00EF3714" w:rsidRPr="007A51F1" w14:paraId="6BEAE179" w14:textId="77777777" w:rsidTr="00EF3714">
        <w:trPr>
          <w:trHeight w:val="318"/>
        </w:trPr>
        <w:tc>
          <w:tcPr>
            <w:tcW w:w="2120" w:type="dxa"/>
            <w:tcBorders>
              <w:top w:val="nil"/>
              <w:left w:val="nil"/>
              <w:bottom w:val="nil"/>
              <w:right w:val="nil"/>
            </w:tcBorders>
            <w:shd w:val="clear" w:color="auto" w:fill="auto"/>
            <w:noWrap/>
            <w:vAlign w:val="bottom"/>
            <w:hideMark/>
          </w:tcPr>
          <w:p w14:paraId="779FB4D6" w14:textId="77777777" w:rsidR="007A51F1" w:rsidRPr="007A51F1" w:rsidRDefault="007A51F1" w:rsidP="007A51F1">
            <w:pPr>
              <w:spacing w:after="0" w:line="240" w:lineRule="auto"/>
              <w:jc w:val="left"/>
              <w:rPr>
                <w:color w:val="000000"/>
              </w:rPr>
            </w:pPr>
            <w:r w:rsidRPr="007A51F1">
              <w:rPr>
                <w:color w:val="000000"/>
              </w:rPr>
              <w:t>Switzerland</w:t>
            </w:r>
          </w:p>
        </w:tc>
        <w:tc>
          <w:tcPr>
            <w:tcW w:w="1395" w:type="dxa"/>
            <w:tcBorders>
              <w:top w:val="nil"/>
              <w:left w:val="nil"/>
              <w:bottom w:val="nil"/>
              <w:right w:val="nil"/>
            </w:tcBorders>
            <w:shd w:val="clear" w:color="auto" w:fill="auto"/>
            <w:noWrap/>
            <w:vAlign w:val="center"/>
            <w:hideMark/>
          </w:tcPr>
          <w:p w14:paraId="44E96C94"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49F746E7"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2E67DD4B" w14:textId="77777777" w:rsidR="007A51F1" w:rsidRPr="007A51F1" w:rsidRDefault="007A51F1" w:rsidP="00D01A9D">
            <w:pPr>
              <w:spacing w:after="0" w:line="240" w:lineRule="auto"/>
              <w:rPr>
                <w:color w:val="000000"/>
              </w:rPr>
            </w:pPr>
            <w:r w:rsidRPr="007A51F1">
              <w:rPr>
                <w:color w:val="000000"/>
              </w:rPr>
              <w:t>.65</w:t>
            </w:r>
          </w:p>
        </w:tc>
        <w:tc>
          <w:tcPr>
            <w:tcW w:w="1306" w:type="dxa"/>
            <w:tcBorders>
              <w:top w:val="nil"/>
              <w:left w:val="nil"/>
              <w:bottom w:val="nil"/>
              <w:right w:val="nil"/>
            </w:tcBorders>
            <w:shd w:val="clear" w:color="auto" w:fill="auto"/>
            <w:noWrap/>
            <w:vAlign w:val="center"/>
            <w:hideMark/>
          </w:tcPr>
          <w:p w14:paraId="61A143C3" w14:textId="77777777" w:rsidR="007A51F1" w:rsidRPr="007A51F1" w:rsidRDefault="007A51F1" w:rsidP="00D01A9D">
            <w:pPr>
              <w:spacing w:after="0" w:line="240" w:lineRule="auto"/>
              <w:rPr>
                <w:color w:val="000000"/>
              </w:rPr>
            </w:pPr>
            <w:r w:rsidRPr="007A51F1">
              <w:rPr>
                <w:color w:val="000000"/>
              </w:rPr>
              <w:t>.48</w:t>
            </w:r>
          </w:p>
        </w:tc>
        <w:tc>
          <w:tcPr>
            <w:tcW w:w="1683" w:type="dxa"/>
            <w:tcBorders>
              <w:top w:val="nil"/>
              <w:left w:val="nil"/>
              <w:bottom w:val="nil"/>
              <w:right w:val="nil"/>
            </w:tcBorders>
            <w:shd w:val="clear" w:color="auto" w:fill="auto"/>
            <w:noWrap/>
            <w:vAlign w:val="center"/>
            <w:hideMark/>
          </w:tcPr>
          <w:p w14:paraId="02B16E8E" w14:textId="77777777" w:rsidR="007A51F1" w:rsidRPr="007A51F1" w:rsidRDefault="007A51F1" w:rsidP="00D01A9D">
            <w:pPr>
              <w:spacing w:after="0" w:line="240" w:lineRule="auto"/>
              <w:rPr>
                <w:color w:val="000000"/>
              </w:rPr>
            </w:pPr>
            <w:r w:rsidRPr="007A51F1">
              <w:rPr>
                <w:color w:val="000000"/>
              </w:rPr>
              <w:t>.64</w:t>
            </w:r>
          </w:p>
        </w:tc>
      </w:tr>
      <w:tr w:rsidR="00EF3714" w:rsidRPr="007A51F1" w14:paraId="6AE5E2E5" w14:textId="77777777" w:rsidTr="00EF3714">
        <w:trPr>
          <w:trHeight w:val="318"/>
        </w:trPr>
        <w:tc>
          <w:tcPr>
            <w:tcW w:w="2120" w:type="dxa"/>
            <w:tcBorders>
              <w:top w:val="nil"/>
              <w:left w:val="nil"/>
              <w:bottom w:val="nil"/>
              <w:right w:val="nil"/>
            </w:tcBorders>
            <w:shd w:val="clear" w:color="auto" w:fill="auto"/>
            <w:noWrap/>
            <w:vAlign w:val="bottom"/>
            <w:hideMark/>
          </w:tcPr>
          <w:p w14:paraId="2CD8DF63" w14:textId="77777777" w:rsidR="007A51F1" w:rsidRPr="007A51F1" w:rsidRDefault="007A51F1" w:rsidP="007A51F1">
            <w:pPr>
              <w:spacing w:after="0" w:line="240" w:lineRule="auto"/>
              <w:jc w:val="left"/>
              <w:rPr>
                <w:color w:val="000000"/>
              </w:rPr>
            </w:pPr>
            <w:r w:rsidRPr="007A51F1">
              <w:rPr>
                <w:color w:val="000000"/>
              </w:rPr>
              <w:t>Taiwan</w:t>
            </w:r>
          </w:p>
        </w:tc>
        <w:tc>
          <w:tcPr>
            <w:tcW w:w="1395" w:type="dxa"/>
            <w:tcBorders>
              <w:top w:val="nil"/>
              <w:left w:val="nil"/>
              <w:bottom w:val="nil"/>
              <w:right w:val="nil"/>
            </w:tcBorders>
            <w:shd w:val="clear" w:color="auto" w:fill="auto"/>
            <w:noWrap/>
            <w:vAlign w:val="center"/>
            <w:hideMark/>
          </w:tcPr>
          <w:p w14:paraId="16FEB042"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43BC9EE8" w14:textId="77777777" w:rsidR="007A51F1" w:rsidRPr="007A51F1" w:rsidRDefault="007A51F1" w:rsidP="00D01A9D">
            <w:pPr>
              <w:spacing w:after="0" w:line="240" w:lineRule="auto"/>
              <w:rPr>
                <w:color w:val="000000"/>
              </w:rPr>
            </w:pPr>
            <w:r w:rsidRPr="007A51F1">
              <w:rPr>
                <w:color w:val="000000"/>
              </w:rPr>
              <w:t>.91</w:t>
            </w:r>
          </w:p>
        </w:tc>
        <w:tc>
          <w:tcPr>
            <w:tcW w:w="1306" w:type="dxa"/>
            <w:tcBorders>
              <w:top w:val="nil"/>
              <w:left w:val="nil"/>
              <w:bottom w:val="nil"/>
              <w:right w:val="nil"/>
            </w:tcBorders>
            <w:shd w:val="clear" w:color="auto" w:fill="auto"/>
            <w:noWrap/>
            <w:vAlign w:val="center"/>
            <w:hideMark/>
          </w:tcPr>
          <w:p w14:paraId="3628F656" w14:textId="77777777" w:rsidR="007A51F1" w:rsidRPr="007A51F1" w:rsidRDefault="007A51F1" w:rsidP="00D01A9D">
            <w:pPr>
              <w:spacing w:after="0" w:line="240" w:lineRule="auto"/>
              <w:rPr>
                <w:color w:val="000000"/>
              </w:rPr>
            </w:pPr>
            <w:r w:rsidRPr="007A51F1">
              <w:rPr>
                <w:color w:val="000000"/>
              </w:rPr>
              <w:t>.76</w:t>
            </w:r>
          </w:p>
        </w:tc>
        <w:tc>
          <w:tcPr>
            <w:tcW w:w="1306" w:type="dxa"/>
            <w:tcBorders>
              <w:top w:val="nil"/>
              <w:left w:val="nil"/>
              <w:bottom w:val="nil"/>
              <w:right w:val="nil"/>
            </w:tcBorders>
            <w:shd w:val="clear" w:color="auto" w:fill="auto"/>
            <w:noWrap/>
            <w:vAlign w:val="center"/>
            <w:hideMark/>
          </w:tcPr>
          <w:p w14:paraId="5C7F02BA" w14:textId="77777777" w:rsidR="007A51F1" w:rsidRPr="007A51F1" w:rsidRDefault="007A51F1" w:rsidP="00D01A9D">
            <w:pPr>
              <w:spacing w:after="0" w:line="240" w:lineRule="auto"/>
              <w:rPr>
                <w:color w:val="000000"/>
              </w:rPr>
            </w:pPr>
            <w:r w:rsidRPr="007A51F1">
              <w:rPr>
                <w:color w:val="000000"/>
              </w:rPr>
              <w:t>.33</w:t>
            </w:r>
          </w:p>
        </w:tc>
        <w:tc>
          <w:tcPr>
            <w:tcW w:w="1683" w:type="dxa"/>
            <w:tcBorders>
              <w:top w:val="nil"/>
              <w:left w:val="nil"/>
              <w:bottom w:val="nil"/>
              <w:right w:val="nil"/>
            </w:tcBorders>
            <w:shd w:val="clear" w:color="auto" w:fill="auto"/>
            <w:noWrap/>
            <w:vAlign w:val="center"/>
            <w:hideMark/>
          </w:tcPr>
          <w:p w14:paraId="0F989056" w14:textId="77777777" w:rsidR="007A51F1" w:rsidRPr="007A51F1" w:rsidRDefault="007A51F1" w:rsidP="00D01A9D">
            <w:pPr>
              <w:spacing w:after="0" w:line="240" w:lineRule="auto"/>
              <w:rPr>
                <w:color w:val="000000"/>
              </w:rPr>
            </w:pPr>
            <w:r w:rsidRPr="007A51F1">
              <w:rPr>
                <w:color w:val="000000"/>
              </w:rPr>
              <w:t>.67</w:t>
            </w:r>
          </w:p>
        </w:tc>
      </w:tr>
      <w:tr w:rsidR="00EF3714" w:rsidRPr="007A51F1" w14:paraId="3945B254" w14:textId="77777777" w:rsidTr="00EF3714">
        <w:trPr>
          <w:trHeight w:val="318"/>
        </w:trPr>
        <w:tc>
          <w:tcPr>
            <w:tcW w:w="2120" w:type="dxa"/>
            <w:tcBorders>
              <w:top w:val="nil"/>
              <w:left w:val="nil"/>
              <w:bottom w:val="nil"/>
              <w:right w:val="nil"/>
            </w:tcBorders>
            <w:shd w:val="clear" w:color="auto" w:fill="auto"/>
            <w:noWrap/>
            <w:vAlign w:val="bottom"/>
            <w:hideMark/>
          </w:tcPr>
          <w:p w14:paraId="103E591D" w14:textId="77777777" w:rsidR="007A51F1" w:rsidRPr="007A51F1" w:rsidRDefault="007A51F1" w:rsidP="007A51F1">
            <w:pPr>
              <w:spacing w:after="0" w:line="240" w:lineRule="auto"/>
              <w:jc w:val="left"/>
              <w:rPr>
                <w:color w:val="000000"/>
              </w:rPr>
            </w:pPr>
            <w:r w:rsidRPr="007A51F1">
              <w:rPr>
                <w:color w:val="000000"/>
              </w:rPr>
              <w:t>Thailand</w:t>
            </w:r>
          </w:p>
        </w:tc>
        <w:tc>
          <w:tcPr>
            <w:tcW w:w="1395" w:type="dxa"/>
            <w:tcBorders>
              <w:top w:val="nil"/>
              <w:left w:val="nil"/>
              <w:bottom w:val="nil"/>
              <w:right w:val="nil"/>
            </w:tcBorders>
            <w:shd w:val="clear" w:color="auto" w:fill="auto"/>
            <w:noWrap/>
            <w:vAlign w:val="center"/>
            <w:hideMark/>
          </w:tcPr>
          <w:p w14:paraId="42ED72FE" w14:textId="77777777" w:rsidR="007A51F1" w:rsidRPr="007A51F1" w:rsidRDefault="007A51F1" w:rsidP="00D01A9D">
            <w:pPr>
              <w:spacing w:after="0" w:line="240" w:lineRule="auto"/>
              <w:rPr>
                <w:color w:val="000000"/>
              </w:rPr>
            </w:pPr>
            <w:r w:rsidRPr="007A51F1">
              <w:rPr>
                <w:color w:val="000000"/>
              </w:rPr>
              <w:t>.85</w:t>
            </w:r>
          </w:p>
        </w:tc>
        <w:tc>
          <w:tcPr>
            <w:tcW w:w="1306" w:type="dxa"/>
            <w:tcBorders>
              <w:top w:val="nil"/>
              <w:left w:val="nil"/>
              <w:bottom w:val="nil"/>
              <w:right w:val="nil"/>
            </w:tcBorders>
            <w:shd w:val="clear" w:color="auto" w:fill="auto"/>
            <w:noWrap/>
            <w:vAlign w:val="center"/>
            <w:hideMark/>
          </w:tcPr>
          <w:p w14:paraId="2A6162BA" w14:textId="77777777" w:rsidR="007A51F1" w:rsidRPr="007A51F1" w:rsidRDefault="007A51F1" w:rsidP="00D01A9D">
            <w:pPr>
              <w:spacing w:after="0" w:line="240" w:lineRule="auto"/>
              <w:rPr>
                <w:color w:val="000000"/>
              </w:rPr>
            </w:pPr>
            <w:r w:rsidRPr="007A51F1">
              <w:rPr>
                <w:color w:val="000000"/>
              </w:rPr>
              <w:t>.67</w:t>
            </w:r>
          </w:p>
        </w:tc>
        <w:tc>
          <w:tcPr>
            <w:tcW w:w="1306" w:type="dxa"/>
            <w:tcBorders>
              <w:top w:val="nil"/>
              <w:left w:val="nil"/>
              <w:bottom w:val="nil"/>
              <w:right w:val="nil"/>
            </w:tcBorders>
            <w:shd w:val="clear" w:color="auto" w:fill="auto"/>
            <w:noWrap/>
            <w:vAlign w:val="center"/>
            <w:hideMark/>
          </w:tcPr>
          <w:p w14:paraId="751534FC" w14:textId="77777777" w:rsidR="007A51F1" w:rsidRPr="007A51F1" w:rsidRDefault="007A51F1" w:rsidP="00D01A9D">
            <w:pPr>
              <w:spacing w:after="0" w:line="240" w:lineRule="auto"/>
              <w:rPr>
                <w:color w:val="000000"/>
              </w:rPr>
            </w:pPr>
            <w:r w:rsidRPr="007A51F1">
              <w:rPr>
                <w:color w:val="000000"/>
              </w:rPr>
              <w:t>.73</w:t>
            </w:r>
          </w:p>
        </w:tc>
        <w:tc>
          <w:tcPr>
            <w:tcW w:w="1306" w:type="dxa"/>
            <w:tcBorders>
              <w:top w:val="nil"/>
              <w:left w:val="nil"/>
              <w:bottom w:val="nil"/>
              <w:right w:val="nil"/>
            </w:tcBorders>
            <w:shd w:val="clear" w:color="auto" w:fill="auto"/>
            <w:noWrap/>
            <w:vAlign w:val="center"/>
            <w:hideMark/>
          </w:tcPr>
          <w:p w14:paraId="499EA953" w14:textId="77777777" w:rsidR="007A51F1" w:rsidRPr="007A51F1" w:rsidRDefault="007A51F1" w:rsidP="00D01A9D">
            <w:pPr>
              <w:spacing w:after="0" w:line="240" w:lineRule="auto"/>
              <w:rPr>
                <w:color w:val="000000"/>
              </w:rPr>
            </w:pPr>
            <w:r w:rsidRPr="007A51F1">
              <w:rPr>
                <w:color w:val="000000"/>
              </w:rPr>
              <w:t>.43</w:t>
            </w:r>
          </w:p>
        </w:tc>
        <w:tc>
          <w:tcPr>
            <w:tcW w:w="1683" w:type="dxa"/>
            <w:tcBorders>
              <w:top w:val="nil"/>
              <w:left w:val="nil"/>
              <w:bottom w:val="nil"/>
              <w:right w:val="nil"/>
            </w:tcBorders>
            <w:shd w:val="clear" w:color="auto" w:fill="auto"/>
            <w:noWrap/>
            <w:vAlign w:val="center"/>
            <w:hideMark/>
          </w:tcPr>
          <w:p w14:paraId="66D29FB4" w14:textId="77777777" w:rsidR="007A51F1" w:rsidRPr="007A51F1" w:rsidRDefault="007A51F1" w:rsidP="00D01A9D">
            <w:pPr>
              <w:spacing w:after="0" w:line="240" w:lineRule="auto"/>
              <w:rPr>
                <w:color w:val="000000"/>
              </w:rPr>
            </w:pPr>
            <w:r w:rsidRPr="007A51F1">
              <w:rPr>
                <w:color w:val="000000"/>
              </w:rPr>
              <w:t>.67</w:t>
            </w:r>
          </w:p>
        </w:tc>
      </w:tr>
      <w:tr w:rsidR="00EF3714" w:rsidRPr="007A51F1" w14:paraId="0DC4539E" w14:textId="77777777" w:rsidTr="00EF3714">
        <w:trPr>
          <w:trHeight w:val="318"/>
        </w:trPr>
        <w:tc>
          <w:tcPr>
            <w:tcW w:w="2120" w:type="dxa"/>
            <w:tcBorders>
              <w:top w:val="nil"/>
              <w:left w:val="nil"/>
              <w:bottom w:val="nil"/>
              <w:right w:val="nil"/>
            </w:tcBorders>
            <w:shd w:val="clear" w:color="auto" w:fill="auto"/>
            <w:noWrap/>
            <w:vAlign w:val="bottom"/>
            <w:hideMark/>
          </w:tcPr>
          <w:p w14:paraId="41D7169C" w14:textId="77777777" w:rsidR="007A51F1" w:rsidRPr="007A51F1" w:rsidRDefault="007A51F1" w:rsidP="007A51F1">
            <w:pPr>
              <w:spacing w:after="0" w:line="240" w:lineRule="auto"/>
              <w:jc w:val="left"/>
              <w:rPr>
                <w:color w:val="000000"/>
              </w:rPr>
            </w:pPr>
            <w:r w:rsidRPr="007A51F1">
              <w:rPr>
                <w:color w:val="000000"/>
              </w:rPr>
              <w:t>Turkey</w:t>
            </w:r>
          </w:p>
        </w:tc>
        <w:tc>
          <w:tcPr>
            <w:tcW w:w="1395" w:type="dxa"/>
            <w:tcBorders>
              <w:top w:val="nil"/>
              <w:left w:val="nil"/>
              <w:bottom w:val="nil"/>
              <w:right w:val="nil"/>
            </w:tcBorders>
            <w:shd w:val="clear" w:color="auto" w:fill="auto"/>
            <w:noWrap/>
            <w:vAlign w:val="center"/>
            <w:hideMark/>
          </w:tcPr>
          <w:p w14:paraId="738B2D32" w14:textId="77777777" w:rsidR="007A51F1" w:rsidRPr="007A51F1" w:rsidRDefault="007A51F1" w:rsidP="00D01A9D">
            <w:pPr>
              <w:spacing w:after="0" w:line="240" w:lineRule="auto"/>
              <w:rPr>
                <w:color w:val="000000"/>
              </w:rPr>
            </w:pPr>
            <w:r w:rsidRPr="007A51F1">
              <w:rPr>
                <w:color w:val="000000"/>
              </w:rPr>
              <w:t>.74</w:t>
            </w:r>
          </w:p>
        </w:tc>
        <w:tc>
          <w:tcPr>
            <w:tcW w:w="1306" w:type="dxa"/>
            <w:tcBorders>
              <w:top w:val="nil"/>
              <w:left w:val="nil"/>
              <w:bottom w:val="nil"/>
              <w:right w:val="nil"/>
            </w:tcBorders>
            <w:shd w:val="clear" w:color="auto" w:fill="auto"/>
            <w:noWrap/>
            <w:vAlign w:val="center"/>
            <w:hideMark/>
          </w:tcPr>
          <w:p w14:paraId="3D51BECA"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04112D51" w14:textId="77777777" w:rsidR="007A51F1" w:rsidRPr="007A51F1" w:rsidRDefault="007A51F1" w:rsidP="00D01A9D">
            <w:pPr>
              <w:spacing w:after="0" w:line="240" w:lineRule="auto"/>
              <w:rPr>
                <w:color w:val="000000"/>
              </w:rPr>
            </w:pPr>
            <w:r w:rsidRPr="007A51F1">
              <w:rPr>
                <w:color w:val="000000"/>
              </w:rPr>
              <w:t>.61</w:t>
            </w:r>
          </w:p>
        </w:tc>
        <w:tc>
          <w:tcPr>
            <w:tcW w:w="1306" w:type="dxa"/>
            <w:tcBorders>
              <w:top w:val="nil"/>
              <w:left w:val="nil"/>
              <w:bottom w:val="nil"/>
              <w:right w:val="nil"/>
            </w:tcBorders>
            <w:shd w:val="clear" w:color="auto" w:fill="auto"/>
            <w:noWrap/>
            <w:vAlign w:val="center"/>
            <w:hideMark/>
          </w:tcPr>
          <w:p w14:paraId="22043F6A" w14:textId="77777777" w:rsidR="007A51F1" w:rsidRPr="007A51F1" w:rsidRDefault="007A51F1" w:rsidP="00D01A9D">
            <w:pPr>
              <w:spacing w:after="0" w:line="240" w:lineRule="auto"/>
              <w:rPr>
                <w:color w:val="000000"/>
              </w:rPr>
            </w:pPr>
            <w:r w:rsidRPr="007A51F1">
              <w:rPr>
                <w:color w:val="000000"/>
              </w:rPr>
              <w:t>.47</w:t>
            </w:r>
          </w:p>
        </w:tc>
        <w:tc>
          <w:tcPr>
            <w:tcW w:w="1683" w:type="dxa"/>
            <w:tcBorders>
              <w:top w:val="nil"/>
              <w:left w:val="nil"/>
              <w:bottom w:val="nil"/>
              <w:right w:val="nil"/>
            </w:tcBorders>
            <w:shd w:val="clear" w:color="auto" w:fill="auto"/>
            <w:noWrap/>
            <w:vAlign w:val="center"/>
            <w:hideMark/>
          </w:tcPr>
          <w:p w14:paraId="180187D2" w14:textId="77777777" w:rsidR="007A51F1" w:rsidRPr="007A51F1" w:rsidRDefault="007A51F1" w:rsidP="00D01A9D">
            <w:pPr>
              <w:spacing w:after="0" w:line="240" w:lineRule="auto"/>
              <w:rPr>
                <w:color w:val="000000"/>
              </w:rPr>
            </w:pPr>
            <w:r w:rsidRPr="007A51F1">
              <w:rPr>
                <w:color w:val="000000"/>
              </w:rPr>
              <w:t>.64</w:t>
            </w:r>
          </w:p>
        </w:tc>
      </w:tr>
      <w:tr w:rsidR="00EF3714" w:rsidRPr="007A51F1" w14:paraId="308236E1" w14:textId="77777777" w:rsidTr="00EF3714">
        <w:trPr>
          <w:trHeight w:val="318"/>
        </w:trPr>
        <w:tc>
          <w:tcPr>
            <w:tcW w:w="2120" w:type="dxa"/>
            <w:tcBorders>
              <w:top w:val="nil"/>
              <w:left w:val="nil"/>
              <w:bottom w:val="nil"/>
              <w:right w:val="nil"/>
            </w:tcBorders>
            <w:shd w:val="clear" w:color="auto" w:fill="auto"/>
            <w:noWrap/>
            <w:vAlign w:val="bottom"/>
            <w:hideMark/>
          </w:tcPr>
          <w:p w14:paraId="3FC87D16" w14:textId="77777777" w:rsidR="007A51F1" w:rsidRPr="007A51F1" w:rsidRDefault="007A51F1" w:rsidP="007A51F1">
            <w:pPr>
              <w:spacing w:after="0" w:line="240" w:lineRule="auto"/>
              <w:jc w:val="left"/>
              <w:rPr>
                <w:color w:val="000000"/>
              </w:rPr>
            </w:pPr>
            <w:r w:rsidRPr="007A51F1">
              <w:rPr>
                <w:color w:val="000000"/>
              </w:rPr>
              <w:t>Uganda</w:t>
            </w:r>
          </w:p>
        </w:tc>
        <w:tc>
          <w:tcPr>
            <w:tcW w:w="1395" w:type="dxa"/>
            <w:tcBorders>
              <w:top w:val="nil"/>
              <w:left w:val="nil"/>
              <w:bottom w:val="nil"/>
              <w:right w:val="nil"/>
            </w:tcBorders>
            <w:shd w:val="clear" w:color="auto" w:fill="auto"/>
            <w:noWrap/>
            <w:vAlign w:val="center"/>
            <w:hideMark/>
          </w:tcPr>
          <w:p w14:paraId="097380AC" w14:textId="77777777" w:rsidR="007A51F1" w:rsidRPr="007A51F1" w:rsidRDefault="007A51F1" w:rsidP="00D01A9D">
            <w:pPr>
              <w:spacing w:after="0" w:line="240" w:lineRule="auto"/>
              <w:rPr>
                <w:color w:val="000000"/>
              </w:rPr>
            </w:pPr>
            <w:r w:rsidRPr="007A51F1">
              <w:rPr>
                <w:color w:val="000000"/>
              </w:rPr>
              <w:t>.75</w:t>
            </w:r>
          </w:p>
        </w:tc>
        <w:tc>
          <w:tcPr>
            <w:tcW w:w="1306" w:type="dxa"/>
            <w:tcBorders>
              <w:top w:val="nil"/>
              <w:left w:val="nil"/>
              <w:bottom w:val="nil"/>
              <w:right w:val="nil"/>
            </w:tcBorders>
            <w:shd w:val="clear" w:color="auto" w:fill="auto"/>
            <w:noWrap/>
            <w:vAlign w:val="center"/>
            <w:hideMark/>
          </w:tcPr>
          <w:p w14:paraId="2F1C0B7F" w14:textId="77777777" w:rsidR="007A51F1" w:rsidRPr="007A51F1" w:rsidRDefault="007A51F1" w:rsidP="00D01A9D">
            <w:pPr>
              <w:spacing w:after="0" w:line="240" w:lineRule="auto"/>
              <w:rPr>
                <w:color w:val="000000"/>
              </w:rPr>
            </w:pPr>
            <w:r w:rsidRPr="007A51F1">
              <w:rPr>
                <w:color w:val="000000"/>
              </w:rPr>
              <w:t>.70</w:t>
            </w:r>
          </w:p>
        </w:tc>
        <w:tc>
          <w:tcPr>
            <w:tcW w:w="1306" w:type="dxa"/>
            <w:tcBorders>
              <w:top w:val="nil"/>
              <w:left w:val="nil"/>
              <w:bottom w:val="nil"/>
              <w:right w:val="nil"/>
            </w:tcBorders>
            <w:shd w:val="clear" w:color="auto" w:fill="auto"/>
            <w:noWrap/>
            <w:vAlign w:val="center"/>
            <w:hideMark/>
          </w:tcPr>
          <w:p w14:paraId="61F1C5C6" w14:textId="77777777" w:rsidR="007A51F1" w:rsidRPr="007A51F1" w:rsidRDefault="007A51F1" w:rsidP="00D01A9D">
            <w:pPr>
              <w:spacing w:after="0" w:line="240" w:lineRule="auto"/>
              <w:rPr>
                <w:color w:val="000000"/>
              </w:rPr>
            </w:pPr>
            <w:r w:rsidRPr="007A51F1">
              <w:rPr>
                <w:color w:val="000000"/>
              </w:rPr>
              <w:t>.29</w:t>
            </w:r>
          </w:p>
        </w:tc>
        <w:tc>
          <w:tcPr>
            <w:tcW w:w="1306" w:type="dxa"/>
            <w:tcBorders>
              <w:top w:val="nil"/>
              <w:left w:val="nil"/>
              <w:bottom w:val="nil"/>
              <w:right w:val="nil"/>
            </w:tcBorders>
            <w:shd w:val="clear" w:color="auto" w:fill="auto"/>
            <w:noWrap/>
            <w:vAlign w:val="center"/>
            <w:hideMark/>
          </w:tcPr>
          <w:p w14:paraId="133D3771" w14:textId="77777777" w:rsidR="007A51F1" w:rsidRPr="007A51F1" w:rsidRDefault="007A51F1" w:rsidP="00D01A9D">
            <w:pPr>
              <w:spacing w:after="0" w:line="240" w:lineRule="auto"/>
              <w:rPr>
                <w:color w:val="000000"/>
              </w:rPr>
            </w:pPr>
            <w:r w:rsidRPr="007A51F1">
              <w:rPr>
                <w:color w:val="000000"/>
              </w:rPr>
              <w:t>.23</w:t>
            </w:r>
          </w:p>
        </w:tc>
        <w:tc>
          <w:tcPr>
            <w:tcW w:w="1683" w:type="dxa"/>
            <w:tcBorders>
              <w:top w:val="nil"/>
              <w:left w:val="nil"/>
              <w:bottom w:val="nil"/>
              <w:right w:val="nil"/>
            </w:tcBorders>
            <w:shd w:val="clear" w:color="auto" w:fill="auto"/>
            <w:noWrap/>
            <w:vAlign w:val="center"/>
            <w:hideMark/>
          </w:tcPr>
          <w:p w14:paraId="2E849CDB" w14:textId="77777777" w:rsidR="007A51F1" w:rsidRPr="007A51F1" w:rsidRDefault="007A51F1" w:rsidP="00D01A9D">
            <w:pPr>
              <w:spacing w:after="0" w:line="240" w:lineRule="auto"/>
              <w:rPr>
                <w:color w:val="000000"/>
              </w:rPr>
            </w:pPr>
            <w:r w:rsidRPr="007A51F1">
              <w:rPr>
                <w:color w:val="000000"/>
              </w:rPr>
              <w:t>.49</w:t>
            </w:r>
          </w:p>
        </w:tc>
      </w:tr>
      <w:tr w:rsidR="00EF3714" w:rsidRPr="007A51F1" w14:paraId="5606AA25" w14:textId="77777777" w:rsidTr="00EF3714">
        <w:trPr>
          <w:trHeight w:val="318"/>
        </w:trPr>
        <w:tc>
          <w:tcPr>
            <w:tcW w:w="2120" w:type="dxa"/>
            <w:tcBorders>
              <w:top w:val="nil"/>
              <w:left w:val="nil"/>
              <w:bottom w:val="nil"/>
              <w:right w:val="nil"/>
            </w:tcBorders>
            <w:shd w:val="clear" w:color="auto" w:fill="auto"/>
            <w:noWrap/>
            <w:vAlign w:val="bottom"/>
            <w:hideMark/>
          </w:tcPr>
          <w:p w14:paraId="0E802DDB" w14:textId="77777777" w:rsidR="007A51F1" w:rsidRPr="007A51F1" w:rsidRDefault="007A51F1" w:rsidP="007A51F1">
            <w:pPr>
              <w:spacing w:after="0" w:line="240" w:lineRule="auto"/>
              <w:jc w:val="left"/>
              <w:rPr>
                <w:color w:val="000000"/>
              </w:rPr>
            </w:pPr>
            <w:r w:rsidRPr="007A51F1">
              <w:rPr>
                <w:color w:val="000000"/>
              </w:rPr>
              <w:t>Ukraine</w:t>
            </w:r>
          </w:p>
        </w:tc>
        <w:tc>
          <w:tcPr>
            <w:tcW w:w="1395" w:type="dxa"/>
            <w:tcBorders>
              <w:top w:val="nil"/>
              <w:left w:val="nil"/>
              <w:bottom w:val="nil"/>
              <w:right w:val="nil"/>
            </w:tcBorders>
            <w:shd w:val="clear" w:color="auto" w:fill="auto"/>
            <w:noWrap/>
            <w:vAlign w:val="center"/>
            <w:hideMark/>
          </w:tcPr>
          <w:p w14:paraId="666BF569"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56B2A897" w14:textId="77777777" w:rsidR="007A51F1" w:rsidRPr="007A51F1" w:rsidRDefault="007A51F1" w:rsidP="00D01A9D">
            <w:pPr>
              <w:spacing w:after="0" w:line="240" w:lineRule="auto"/>
              <w:rPr>
                <w:color w:val="000000"/>
              </w:rPr>
            </w:pPr>
            <w:r w:rsidRPr="007A51F1">
              <w:rPr>
                <w:color w:val="000000"/>
              </w:rPr>
              <w:t>.72</w:t>
            </w:r>
          </w:p>
        </w:tc>
        <w:tc>
          <w:tcPr>
            <w:tcW w:w="1306" w:type="dxa"/>
            <w:tcBorders>
              <w:top w:val="nil"/>
              <w:left w:val="nil"/>
              <w:bottom w:val="nil"/>
              <w:right w:val="nil"/>
            </w:tcBorders>
            <w:shd w:val="clear" w:color="auto" w:fill="auto"/>
            <w:noWrap/>
            <w:vAlign w:val="center"/>
            <w:hideMark/>
          </w:tcPr>
          <w:p w14:paraId="1EFA94D4" w14:textId="77777777" w:rsidR="007A51F1" w:rsidRPr="007A51F1" w:rsidRDefault="007A51F1" w:rsidP="00D01A9D">
            <w:pPr>
              <w:spacing w:after="0" w:line="240" w:lineRule="auto"/>
              <w:rPr>
                <w:color w:val="000000"/>
              </w:rPr>
            </w:pPr>
            <w:r w:rsidRPr="007A51F1">
              <w:rPr>
                <w:color w:val="000000"/>
              </w:rPr>
              <w:t>.55</w:t>
            </w:r>
          </w:p>
        </w:tc>
        <w:tc>
          <w:tcPr>
            <w:tcW w:w="1306" w:type="dxa"/>
            <w:tcBorders>
              <w:top w:val="nil"/>
              <w:left w:val="nil"/>
              <w:bottom w:val="nil"/>
              <w:right w:val="nil"/>
            </w:tcBorders>
            <w:shd w:val="clear" w:color="auto" w:fill="auto"/>
            <w:noWrap/>
            <w:vAlign w:val="center"/>
            <w:hideMark/>
          </w:tcPr>
          <w:p w14:paraId="0E2C590B" w14:textId="77777777" w:rsidR="007A51F1" w:rsidRPr="007A51F1" w:rsidRDefault="007A51F1" w:rsidP="00D01A9D">
            <w:pPr>
              <w:spacing w:after="0" w:line="240" w:lineRule="auto"/>
              <w:rPr>
                <w:color w:val="000000"/>
              </w:rPr>
            </w:pPr>
            <w:r w:rsidRPr="007A51F1">
              <w:rPr>
                <w:color w:val="000000"/>
              </w:rPr>
              <w:t>.22</w:t>
            </w:r>
          </w:p>
        </w:tc>
        <w:tc>
          <w:tcPr>
            <w:tcW w:w="1683" w:type="dxa"/>
            <w:tcBorders>
              <w:top w:val="nil"/>
              <w:left w:val="nil"/>
              <w:bottom w:val="nil"/>
              <w:right w:val="nil"/>
            </w:tcBorders>
            <w:shd w:val="clear" w:color="auto" w:fill="auto"/>
            <w:noWrap/>
            <w:vAlign w:val="center"/>
            <w:hideMark/>
          </w:tcPr>
          <w:p w14:paraId="5660AE2C" w14:textId="77777777" w:rsidR="007A51F1" w:rsidRPr="007A51F1" w:rsidRDefault="007A51F1" w:rsidP="00D01A9D">
            <w:pPr>
              <w:spacing w:after="0" w:line="240" w:lineRule="auto"/>
              <w:rPr>
                <w:color w:val="000000"/>
              </w:rPr>
            </w:pPr>
            <w:r w:rsidRPr="007A51F1">
              <w:rPr>
                <w:color w:val="000000"/>
              </w:rPr>
              <w:t>.57</w:t>
            </w:r>
          </w:p>
        </w:tc>
      </w:tr>
      <w:tr w:rsidR="00EF3714" w:rsidRPr="007A51F1" w14:paraId="44F86689" w14:textId="77777777" w:rsidTr="00EF3714">
        <w:trPr>
          <w:trHeight w:val="318"/>
        </w:trPr>
        <w:tc>
          <w:tcPr>
            <w:tcW w:w="2120" w:type="dxa"/>
            <w:tcBorders>
              <w:top w:val="nil"/>
              <w:left w:val="nil"/>
              <w:bottom w:val="nil"/>
              <w:right w:val="nil"/>
            </w:tcBorders>
            <w:shd w:val="clear" w:color="auto" w:fill="auto"/>
            <w:noWrap/>
            <w:vAlign w:val="bottom"/>
            <w:hideMark/>
          </w:tcPr>
          <w:p w14:paraId="58BA3750" w14:textId="77777777" w:rsidR="007A51F1" w:rsidRPr="007A51F1" w:rsidRDefault="007A51F1" w:rsidP="007A51F1">
            <w:pPr>
              <w:spacing w:after="0" w:line="240" w:lineRule="auto"/>
              <w:jc w:val="left"/>
              <w:rPr>
                <w:color w:val="000000"/>
              </w:rPr>
            </w:pPr>
            <w:r w:rsidRPr="007A51F1">
              <w:rPr>
                <w:color w:val="000000"/>
              </w:rPr>
              <w:t>United Kingdom</w:t>
            </w:r>
          </w:p>
        </w:tc>
        <w:tc>
          <w:tcPr>
            <w:tcW w:w="1395" w:type="dxa"/>
            <w:tcBorders>
              <w:top w:val="nil"/>
              <w:left w:val="nil"/>
              <w:bottom w:val="nil"/>
              <w:right w:val="nil"/>
            </w:tcBorders>
            <w:shd w:val="clear" w:color="auto" w:fill="auto"/>
            <w:noWrap/>
            <w:vAlign w:val="center"/>
            <w:hideMark/>
          </w:tcPr>
          <w:p w14:paraId="7AE8EB26" w14:textId="77777777" w:rsidR="007A51F1" w:rsidRPr="007A51F1" w:rsidRDefault="007A51F1" w:rsidP="00D01A9D">
            <w:pPr>
              <w:spacing w:after="0" w:line="240" w:lineRule="auto"/>
              <w:rPr>
                <w:color w:val="000000"/>
              </w:rPr>
            </w:pPr>
            <w:r w:rsidRPr="007A51F1">
              <w:rPr>
                <w:color w:val="000000"/>
              </w:rPr>
              <w:t>.85</w:t>
            </w:r>
          </w:p>
        </w:tc>
        <w:tc>
          <w:tcPr>
            <w:tcW w:w="1306" w:type="dxa"/>
            <w:tcBorders>
              <w:top w:val="nil"/>
              <w:left w:val="nil"/>
              <w:bottom w:val="nil"/>
              <w:right w:val="nil"/>
            </w:tcBorders>
            <w:shd w:val="clear" w:color="auto" w:fill="auto"/>
            <w:noWrap/>
            <w:vAlign w:val="center"/>
            <w:hideMark/>
          </w:tcPr>
          <w:p w14:paraId="54921102" w14:textId="77777777" w:rsidR="007A51F1" w:rsidRPr="007A51F1" w:rsidRDefault="007A51F1" w:rsidP="00D01A9D">
            <w:pPr>
              <w:spacing w:after="0" w:line="240" w:lineRule="auto"/>
              <w:rPr>
                <w:color w:val="000000"/>
              </w:rPr>
            </w:pPr>
            <w:r w:rsidRPr="007A51F1">
              <w:rPr>
                <w:color w:val="000000"/>
              </w:rPr>
              <w:t>.88</w:t>
            </w:r>
          </w:p>
        </w:tc>
        <w:tc>
          <w:tcPr>
            <w:tcW w:w="1306" w:type="dxa"/>
            <w:tcBorders>
              <w:top w:val="nil"/>
              <w:left w:val="nil"/>
              <w:bottom w:val="nil"/>
              <w:right w:val="nil"/>
            </w:tcBorders>
            <w:shd w:val="clear" w:color="auto" w:fill="auto"/>
            <w:noWrap/>
            <w:vAlign w:val="center"/>
            <w:hideMark/>
          </w:tcPr>
          <w:p w14:paraId="02A34B7A"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4D934150" w14:textId="77777777" w:rsidR="007A51F1" w:rsidRPr="007A51F1" w:rsidRDefault="007A51F1" w:rsidP="00D01A9D">
            <w:pPr>
              <w:spacing w:after="0" w:line="240" w:lineRule="auto"/>
              <w:rPr>
                <w:color w:val="000000"/>
              </w:rPr>
            </w:pPr>
            <w:r w:rsidRPr="007A51F1">
              <w:rPr>
                <w:color w:val="000000"/>
              </w:rPr>
              <w:t>.70</w:t>
            </w:r>
          </w:p>
        </w:tc>
        <w:tc>
          <w:tcPr>
            <w:tcW w:w="1683" w:type="dxa"/>
            <w:tcBorders>
              <w:top w:val="nil"/>
              <w:left w:val="nil"/>
              <w:bottom w:val="nil"/>
              <w:right w:val="nil"/>
            </w:tcBorders>
            <w:shd w:val="clear" w:color="auto" w:fill="auto"/>
            <w:noWrap/>
            <w:vAlign w:val="center"/>
            <w:hideMark/>
          </w:tcPr>
          <w:p w14:paraId="253D8A89" w14:textId="77777777" w:rsidR="007A51F1" w:rsidRPr="007A51F1" w:rsidRDefault="007A51F1" w:rsidP="00D01A9D">
            <w:pPr>
              <w:spacing w:after="0" w:line="240" w:lineRule="auto"/>
              <w:rPr>
                <w:color w:val="000000"/>
              </w:rPr>
            </w:pPr>
            <w:r w:rsidRPr="007A51F1">
              <w:rPr>
                <w:color w:val="000000"/>
              </w:rPr>
              <w:t>.80</w:t>
            </w:r>
          </w:p>
        </w:tc>
      </w:tr>
      <w:tr w:rsidR="00EF3714" w:rsidRPr="007A51F1" w14:paraId="392E070A" w14:textId="77777777" w:rsidTr="00EF3714">
        <w:trPr>
          <w:trHeight w:val="318"/>
        </w:trPr>
        <w:tc>
          <w:tcPr>
            <w:tcW w:w="2120" w:type="dxa"/>
            <w:tcBorders>
              <w:top w:val="nil"/>
              <w:left w:val="nil"/>
              <w:bottom w:val="nil"/>
              <w:right w:val="nil"/>
            </w:tcBorders>
            <w:shd w:val="clear" w:color="auto" w:fill="auto"/>
            <w:noWrap/>
            <w:vAlign w:val="bottom"/>
            <w:hideMark/>
          </w:tcPr>
          <w:p w14:paraId="08827B87" w14:textId="77777777" w:rsidR="007A51F1" w:rsidRPr="007A51F1" w:rsidRDefault="007A51F1" w:rsidP="007A51F1">
            <w:pPr>
              <w:spacing w:after="0" w:line="240" w:lineRule="auto"/>
              <w:jc w:val="left"/>
              <w:rPr>
                <w:color w:val="000000"/>
              </w:rPr>
            </w:pPr>
            <w:r w:rsidRPr="007A51F1">
              <w:rPr>
                <w:color w:val="000000"/>
              </w:rPr>
              <w:t>United States</w:t>
            </w:r>
          </w:p>
        </w:tc>
        <w:tc>
          <w:tcPr>
            <w:tcW w:w="1395" w:type="dxa"/>
            <w:tcBorders>
              <w:top w:val="nil"/>
              <w:left w:val="nil"/>
              <w:bottom w:val="nil"/>
              <w:right w:val="nil"/>
            </w:tcBorders>
            <w:shd w:val="clear" w:color="auto" w:fill="auto"/>
            <w:noWrap/>
            <w:vAlign w:val="center"/>
            <w:hideMark/>
          </w:tcPr>
          <w:p w14:paraId="10C990C9" w14:textId="77777777" w:rsidR="007A51F1" w:rsidRPr="007A51F1" w:rsidRDefault="007A51F1" w:rsidP="00D01A9D">
            <w:pPr>
              <w:spacing w:after="0" w:line="240" w:lineRule="auto"/>
              <w:rPr>
                <w:color w:val="000000"/>
              </w:rPr>
            </w:pPr>
            <w:r w:rsidRPr="007A51F1">
              <w:rPr>
                <w:color w:val="000000"/>
              </w:rPr>
              <w:t>.78</w:t>
            </w:r>
          </w:p>
        </w:tc>
        <w:tc>
          <w:tcPr>
            <w:tcW w:w="1306" w:type="dxa"/>
            <w:tcBorders>
              <w:top w:val="nil"/>
              <w:left w:val="nil"/>
              <w:bottom w:val="nil"/>
              <w:right w:val="nil"/>
            </w:tcBorders>
            <w:shd w:val="clear" w:color="auto" w:fill="auto"/>
            <w:noWrap/>
            <w:vAlign w:val="center"/>
            <w:hideMark/>
          </w:tcPr>
          <w:p w14:paraId="1FC41EFA" w14:textId="77777777" w:rsidR="007A51F1" w:rsidRPr="007A51F1" w:rsidRDefault="007A51F1" w:rsidP="00D01A9D">
            <w:pPr>
              <w:spacing w:after="0" w:line="240" w:lineRule="auto"/>
              <w:rPr>
                <w:color w:val="000000"/>
              </w:rPr>
            </w:pPr>
            <w:r w:rsidRPr="007A51F1">
              <w:rPr>
                <w:color w:val="000000"/>
              </w:rPr>
              <w:t>.77</w:t>
            </w:r>
          </w:p>
        </w:tc>
        <w:tc>
          <w:tcPr>
            <w:tcW w:w="1306" w:type="dxa"/>
            <w:tcBorders>
              <w:top w:val="nil"/>
              <w:left w:val="nil"/>
              <w:bottom w:val="nil"/>
              <w:right w:val="nil"/>
            </w:tcBorders>
            <w:shd w:val="clear" w:color="auto" w:fill="auto"/>
            <w:noWrap/>
            <w:vAlign w:val="center"/>
            <w:hideMark/>
          </w:tcPr>
          <w:p w14:paraId="41E519E3" w14:textId="77777777" w:rsidR="007A51F1" w:rsidRPr="007A51F1" w:rsidRDefault="007A51F1" w:rsidP="00D01A9D">
            <w:pPr>
              <w:spacing w:after="0" w:line="240" w:lineRule="auto"/>
              <w:rPr>
                <w:color w:val="000000"/>
              </w:rPr>
            </w:pPr>
            <w:r w:rsidRPr="007A51F1">
              <w:rPr>
                <w:color w:val="000000"/>
              </w:rPr>
              <w:t>.68</w:t>
            </w:r>
          </w:p>
        </w:tc>
        <w:tc>
          <w:tcPr>
            <w:tcW w:w="1306" w:type="dxa"/>
            <w:tcBorders>
              <w:top w:val="nil"/>
              <w:left w:val="nil"/>
              <w:bottom w:val="nil"/>
              <w:right w:val="nil"/>
            </w:tcBorders>
            <w:shd w:val="clear" w:color="auto" w:fill="auto"/>
            <w:noWrap/>
            <w:vAlign w:val="center"/>
            <w:hideMark/>
          </w:tcPr>
          <w:p w14:paraId="0D1EF4BB" w14:textId="77777777" w:rsidR="007A51F1" w:rsidRPr="007A51F1" w:rsidRDefault="007A51F1" w:rsidP="00D01A9D">
            <w:pPr>
              <w:spacing w:after="0" w:line="240" w:lineRule="auto"/>
              <w:rPr>
                <w:color w:val="000000"/>
              </w:rPr>
            </w:pPr>
            <w:r w:rsidRPr="007A51F1">
              <w:rPr>
                <w:color w:val="000000"/>
              </w:rPr>
              <w:t>.32</w:t>
            </w:r>
          </w:p>
        </w:tc>
        <w:tc>
          <w:tcPr>
            <w:tcW w:w="1683" w:type="dxa"/>
            <w:tcBorders>
              <w:top w:val="nil"/>
              <w:left w:val="nil"/>
              <w:bottom w:val="nil"/>
              <w:right w:val="nil"/>
            </w:tcBorders>
            <w:shd w:val="clear" w:color="auto" w:fill="auto"/>
            <w:noWrap/>
            <w:vAlign w:val="center"/>
            <w:hideMark/>
          </w:tcPr>
          <w:p w14:paraId="779F668C" w14:textId="77777777" w:rsidR="007A51F1" w:rsidRPr="007A51F1" w:rsidRDefault="007A51F1" w:rsidP="00D01A9D">
            <w:pPr>
              <w:spacing w:after="0" w:line="240" w:lineRule="auto"/>
              <w:rPr>
                <w:color w:val="000000"/>
              </w:rPr>
            </w:pPr>
            <w:r w:rsidRPr="007A51F1">
              <w:rPr>
                <w:color w:val="000000"/>
              </w:rPr>
              <w:t>.64</w:t>
            </w:r>
          </w:p>
        </w:tc>
      </w:tr>
      <w:tr w:rsidR="00EF3714" w:rsidRPr="007A51F1" w14:paraId="6CDB9ECB" w14:textId="77777777" w:rsidTr="00EF3714">
        <w:trPr>
          <w:trHeight w:val="318"/>
        </w:trPr>
        <w:tc>
          <w:tcPr>
            <w:tcW w:w="2120" w:type="dxa"/>
            <w:tcBorders>
              <w:top w:val="nil"/>
              <w:left w:val="nil"/>
              <w:bottom w:val="single" w:sz="4" w:space="0" w:color="auto"/>
              <w:right w:val="nil"/>
            </w:tcBorders>
            <w:shd w:val="clear" w:color="auto" w:fill="auto"/>
            <w:noWrap/>
            <w:vAlign w:val="bottom"/>
            <w:hideMark/>
          </w:tcPr>
          <w:p w14:paraId="35D0DFFA" w14:textId="77777777" w:rsidR="007A51F1" w:rsidRPr="007A51F1" w:rsidRDefault="007A51F1" w:rsidP="007A51F1">
            <w:pPr>
              <w:spacing w:after="0" w:line="240" w:lineRule="auto"/>
              <w:jc w:val="left"/>
              <w:rPr>
                <w:color w:val="000000"/>
              </w:rPr>
            </w:pPr>
            <w:r w:rsidRPr="007A51F1">
              <w:rPr>
                <w:color w:val="000000"/>
              </w:rPr>
              <w:lastRenderedPageBreak/>
              <w:t>Vietnam</w:t>
            </w:r>
          </w:p>
        </w:tc>
        <w:tc>
          <w:tcPr>
            <w:tcW w:w="1395" w:type="dxa"/>
            <w:tcBorders>
              <w:top w:val="nil"/>
              <w:left w:val="nil"/>
              <w:bottom w:val="single" w:sz="4" w:space="0" w:color="auto"/>
              <w:right w:val="nil"/>
            </w:tcBorders>
            <w:shd w:val="clear" w:color="auto" w:fill="auto"/>
            <w:noWrap/>
            <w:vAlign w:val="center"/>
            <w:hideMark/>
          </w:tcPr>
          <w:p w14:paraId="292D4F64" w14:textId="77777777" w:rsidR="007A51F1" w:rsidRPr="007A51F1" w:rsidRDefault="007A51F1" w:rsidP="00D01A9D">
            <w:pPr>
              <w:spacing w:after="0" w:line="240" w:lineRule="auto"/>
              <w:rPr>
                <w:color w:val="000000"/>
              </w:rPr>
            </w:pPr>
            <w:r w:rsidRPr="007A51F1">
              <w:rPr>
                <w:color w:val="000000"/>
              </w:rPr>
              <w:t>.79</w:t>
            </w:r>
          </w:p>
        </w:tc>
        <w:tc>
          <w:tcPr>
            <w:tcW w:w="1306" w:type="dxa"/>
            <w:tcBorders>
              <w:top w:val="nil"/>
              <w:left w:val="nil"/>
              <w:bottom w:val="single" w:sz="4" w:space="0" w:color="auto"/>
              <w:right w:val="nil"/>
            </w:tcBorders>
            <w:shd w:val="clear" w:color="auto" w:fill="auto"/>
            <w:noWrap/>
            <w:vAlign w:val="center"/>
            <w:hideMark/>
          </w:tcPr>
          <w:p w14:paraId="4A4B7370" w14:textId="77777777" w:rsidR="007A51F1" w:rsidRPr="007A51F1" w:rsidRDefault="007A51F1" w:rsidP="00D01A9D">
            <w:pPr>
              <w:spacing w:after="0" w:line="240" w:lineRule="auto"/>
              <w:rPr>
                <w:color w:val="000000"/>
              </w:rPr>
            </w:pPr>
            <w:r w:rsidRPr="007A51F1">
              <w:rPr>
                <w:color w:val="000000"/>
              </w:rPr>
              <w:t>.60</w:t>
            </w:r>
          </w:p>
        </w:tc>
        <w:tc>
          <w:tcPr>
            <w:tcW w:w="1306" w:type="dxa"/>
            <w:tcBorders>
              <w:top w:val="nil"/>
              <w:left w:val="nil"/>
              <w:bottom w:val="single" w:sz="4" w:space="0" w:color="auto"/>
              <w:right w:val="nil"/>
            </w:tcBorders>
            <w:shd w:val="clear" w:color="auto" w:fill="auto"/>
            <w:noWrap/>
            <w:vAlign w:val="center"/>
            <w:hideMark/>
          </w:tcPr>
          <w:p w14:paraId="4B986DCC" w14:textId="77777777" w:rsidR="007A51F1" w:rsidRPr="007A51F1" w:rsidRDefault="007A51F1" w:rsidP="00D01A9D">
            <w:pPr>
              <w:spacing w:after="0" w:line="240" w:lineRule="auto"/>
              <w:rPr>
                <w:color w:val="000000"/>
              </w:rPr>
            </w:pPr>
            <w:r w:rsidRPr="007A51F1">
              <w:rPr>
                <w:color w:val="000000"/>
              </w:rPr>
              <w:t>.40</w:t>
            </w:r>
          </w:p>
        </w:tc>
        <w:tc>
          <w:tcPr>
            <w:tcW w:w="1306" w:type="dxa"/>
            <w:tcBorders>
              <w:top w:val="nil"/>
              <w:left w:val="nil"/>
              <w:bottom w:val="single" w:sz="4" w:space="0" w:color="auto"/>
              <w:right w:val="nil"/>
            </w:tcBorders>
            <w:shd w:val="clear" w:color="auto" w:fill="auto"/>
            <w:noWrap/>
            <w:vAlign w:val="center"/>
            <w:hideMark/>
          </w:tcPr>
          <w:p w14:paraId="31B90A58" w14:textId="77777777" w:rsidR="007A51F1" w:rsidRPr="007A51F1" w:rsidRDefault="007A51F1" w:rsidP="00D01A9D">
            <w:pPr>
              <w:spacing w:after="0" w:line="240" w:lineRule="auto"/>
              <w:rPr>
                <w:color w:val="000000"/>
              </w:rPr>
            </w:pPr>
            <w:r w:rsidRPr="007A51F1">
              <w:rPr>
                <w:color w:val="000000"/>
              </w:rPr>
              <w:t>.07</w:t>
            </w:r>
          </w:p>
        </w:tc>
        <w:tc>
          <w:tcPr>
            <w:tcW w:w="1683" w:type="dxa"/>
            <w:tcBorders>
              <w:top w:val="nil"/>
              <w:left w:val="nil"/>
              <w:bottom w:val="single" w:sz="4" w:space="0" w:color="auto"/>
              <w:right w:val="nil"/>
            </w:tcBorders>
            <w:shd w:val="clear" w:color="auto" w:fill="auto"/>
            <w:noWrap/>
            <w:vAlign w:val="center"/>
            <w:hideMark/>
          </w:tcPr>
          <w:p w14:paraId="22CEA6A4" w14:textId="77777777" w:rsidR="007A51F1" w:rsidRPr="007A51F1" w:rsidRDefault="007A51F1" w:rsidP="00D01A9D">
            <w:pPr>
              <w:spacing w:after="0" w:line="240" w:lineRule="auto"/>
              <w:rPr>
                <w:color w:val="000000"/>
              </w:rPr>
            </w:pPr>
            <w:r w:rsidRPr="007A51F1">
              <w:rPr>
                <w:color w:val="000000"/>
              </w:rPr>
              <w:t>.46</w:t>
            </w:r>
          </w:p>
        </w:tc>
      </w:tr>
      <w:tr w:rsidR="00EF3714" w:rsidRPr="007A51F1" w14:paraId="6DE8898E" w14:textId="77777777" w:rsidTr="00EF3714">
        <w:trPr>
          <w:trHeight w:val="318"/>
        </w:trPr>
        <w:tc>
          <w:tcPr>
            <w:tcW w:w="2120" w:type="dxa"/>
            <w:tcBorders>
              <w:top w:val="single" w:sz="4" w:space="0" w:color="auto"/>
              <w:left w:val="nil"/>
              <w:bottom w:val="single" w:sz="4" w:space="0" w:color="auto"/>
              <w:right w:val="nil"/>
            </w:tcBorders>
            <w:shd w:val="clear" w:color="auto" w:fill="auto"/>
            <w:noWrap/>
            <w:vAlign w:val="bottom"/>
            <w:hideMark/>
          </w:tcPr>
          <w:p w14:paraId="4067BAF2" w14:textId="77777777" w:rsidR="007A51F1" w:rsidRPr="007A51F1" w:rsidRDefault="007A51F1" w:rsidP="007A51F1">
            <w:pPr>
              <w:spacing w:after="0" w:line="240" w:lineRule="auto"/>
              <w:jc w:val="left"/>
              <w:rPr>
                <w:b/>
                <w:bCs/>
                <w:color w:val="000000"/>
              </w:rPr>
            </w:pPr>
            <w:r w:rsidRPr="007A51F1">
              <w:rPr>
                <w:b/>
                <w:bCs/>
                <w:color w:val="000000"/>
              </w:rPr>
              <w:t>Average</w:t>
            </w:r>
          </w:p>
        </w:tc>
        <w:tc>
          <w:tcPr>
            <w:tcW w:w="1395" w:type="dxa"/>
            <w:tcBorders>
              <w:top w:val="single" w:sz="4" w:space="0" w:color="auto"/>
              <w:left w:val="nil"/>
              <w:bottom w:val="single" w:sz="4" w:space="0" w:color="auto"/>
              <w:right w:val="nil"/>
            </w:tcBorders>
            <w:shd w:val="clear" w:color="auto" w:fill="auto"/>
            <w:noWrap/>
            <w:vAlign w:val="center"/>
            <w:hideMark/>
          </w:tcPr>
          <w:p w14:paraId="667BB0A6" w14:textId="77777777" w:rsidR="007A51F1" w:rsidRPr="007A51F1" w:rsidRDefault="007A51F1" w:rsidP="00D01A9D">
            <w:pPr>
              <w:spacing w:after="0" w:line="240" w:lineRule="auto"/>
              <w:rPr>
                <w:b/>
                <w:bCs/>
                <w:color w:val="000000"/>
              </w:rPr>
            </w:pPr>
            <w:r w:rsidRPr="007A51F1">
              <w:rPr>
                <w:b/>
                <w:bCs/>
                <w:color w:val="000000"/>
              </w:rPr>
              <w:t>.74</w:t>
            </w:r>
          </w:p>
        </w:tc>
        <w:tc>
          <w:tcPr>
            <w:tcW w:w="1306" w:type="dxa"/>
            <w:tcBorders>
              <w:top w:val="single" w:sz="4" w:space="0" w:color="auto"/>
              <w:left w:val="nil"/>
              <w:bottom w:val="single" w:sz="4" w:space="0" w:color="auto"/>
              <w:right w:val="nil"/>
            </w:tcBorders>
            <w:shd w:val="clear" w:color="auto" w:fill="auto"/>
            <w:noWrap/>
            <w:vAlign w:val="center"/>
            <w:hideMark/>
          </w:tcPr>
          <w:p w14:paraId="3234CF3C" w14:textId="77777777" w:rsidR="007A51F1" w:rsidRPr="007A51F1" w:rsidRDefault="007A51F1" w:rsidP="00D01A9D">
            <w:pPr>
              <w:spacing w:after="0" w:line="240" w:lineRule="auto"/>
              <w:rPr>
                <w:b/>
                <w:bCs/>
                <w:color w:val="000000"/>
              </w:rPr>
            </w:pPr>
            <w:r w:rsidRPr="007A51F1">
              <w:rPr>
                <w:b/>
                <w:bCs/>
                <w:color w:val="000000"/>
              </w:rPr>
              <w:t>.73</w:t>
            </w:r>
          </w:p>
        </w:tc>
        <w:tc>
          <w:tcPr>
            <w:tcW w:w="1306" w:type="dxa"/>
            <w:tcBorders>
              <w:top w:val="single" w:sz="4" w:space="0" w:color="auto"/>
              <w:left w:val="nil"/>
              <w:bottom w:val="single" w:sz="4" w:space="0" w:color="auto"/>
              <w:right w:val="nil"/>
            </w:tcBorders>
            <w:shd w:val="clear" w:color="auto" w:fill="auto"/>
            <w:noWrap/>
            <w:vAlign w:val="center"/>
            <w:hideMark/>
          </w:tcPr>
          <w:p w14:paraId="2EFEFF19" w14:textId="77777777" w:rsidR="007A51F1" w:rsidRPr="007A51F1" w:rsidRDefault="007A51F1" w:rsidP="00D01A9D">
            <w:pPr>
              <w:spacing w:after="0" w:line="240" w:lineRule="auto"/>
              <w:rPr>
                <w:b/>
                <w:bCs/>
                <w:color w:val="000000"/>
              </w:rPr>
            </w:pPr>
            <w:r w:rsidRPr="007A51F1">
              <w:rPr>
                <w:b/>
                <w:bCs/>
                <w:color w:val="000000"/>
              </w:rPr>
              <w:t>.61</w:t>
            </w:r>
          </w:p>
        </w:tc>
        <w:tc>
          <w:tcPr>
            <w:tcW w:w="1306" w:type="dxa"/>
            <w:tcBorders>
              <w:top w:val="single" w:sz="4" w:space="0" w:color="auto"/>
              <w:left w:val="nil"/>
              <w:bottom w:val="single" w:sz="4" w:space="0" w:color="auto"/>
              <w:right w:val="nil"/>
            </w:tcBorders>
            <w:shd w:val="clear" w:color="auto" w:fill="auto"/>
            <w:noWrap/>
            <w:vAlign w:val="center"/>
            <w:hideMark/>
          </w:tcPr>
          <w:p w14:paraId="078D34CE" w14:textId="77777777" w:rsidR="007A51F1" w:rsidRPr="007A51F1" w:rsidRDefault="007A51F1" w:rsidP="00D01A9D">
            <w:pPr>
              <w:spacing w:after="0" w:line="240" w:lineRule="auto"/>
              <w:rPr>
                <w:b/>
                <w:bCs/>
                <w:color w:val="000000"/>
              </w:rPr>
            </w:pPr>
            <w:r w:rsidRPr="007A51F1">
              <w:rPr>
                <w:b/>
                <w:bCs/>
                <w:color w:val="000000"/>
              </w:rPr>
              <w:t>.39</w:t>
            </w:r>
          </w:p>
        </w:tc>
        <w:tc>
          <w:tcPr>
            <w:tcW w:w="1683" w:type="dxa"/>
            <w:tcBorders>
              <w:top w:val="single" w:sz="4" w:space="0" w:color="auto"/>
              <w:left w:val="nil"/>
              <w:bottom w:val="single" w:sz="4" w:space="0" w:color="auto"/>
              <w:right w:val="nil"/>
            </w:tcBorders>
            <w:shd w:val="clear" w:color="auto" w:fill="auto"/>
            <w:noWrap/>
            <w:vAlign w:val="center"/>
            <w:hideMark/>
          </w:tcPr>
          <w:p w14:paraId="4F2F8AB1" w14:textId="77777777" w:rsidR="007A51F1" w:rsidRPr="007A51F1" w:rsidRDefault="007A51F1" w:rsidP="00D01A9D">
            <w:pPr>
              <w:spacing w:after="0" w:line="240" w:lineRule="auto"/>
              <w:rPr>
                <w:b/>
                <w:bCs/>
                <w:color w:val="000000"/>
              </w:rPr>
            </w:pPr>
            <w:r w:rsidRPr="007A51F1">
              <w:rPr>
                <w:b/>
                <w:bCs/>
                <w:color w:val="000000"/>
              </w:rPr>
              <w:t>.62</w:t>
            </w:r>
          </w:p>
        </w:tc>
      </w:tr>
    </w:tbl>
    <w:p w14:paraId="7F80F4E2" w14:textId="77777777" w:rsidR="00EF3714" w:rsidRDefault="00EF3714" w:rsidP="00C66D5C">
      <w:pPr>
        <w:spacing w:after="0"/>
        <w:ind w:firstLine="720"/>
        <w:jc w:val="left"/>
        <w:sectPr w:rsidR="00EF3714" w:rsidSect="00EC1360">
          <w:headerReference w:type="default" r:id="rId10"/>
          <w:headerReference w:type="first" r:id="rId11"/>
          <w:pgSz w:w="12240" w:h="15840"/>
          <w:pgMar w:top="1440" w:right="1440" w:bottom="1440" w:left="1440" w:header="720" w:footer="720" w:gutter="0"/>
          <w:lnNumType w:countBy="1" w:restart="continuous"/>
          <w:pgNumType w:start="1"/>
          <w:cols w:space="720" w:equalWidth="0">
            <w:col w:w="9360"/>
          </w:cols>
          <w:titlePg/>
          <w:docGrid w:linePitch="326"/>
        </w:sectPr>
      </w:pPr>
    </w:p>
    <w:p w14:paraId="7FE069B4" w14:textId="6D415C5B" w:rsidR="007A51F1" w:rsidRDefault="007A51F1" w:rsidP="00C66D5C">
      <w:pPr>
        <w:spacing w:after="0"/>
        <w:ind w:firstLine="720"/>
        <w:jc w:val="left"/>
      </w:pPr>
    </w:p>
    <w:tbl>
      <w:tblPr>
        <w:tblW w:w="11574" w:type="dxa"/>
        <w:tblLook w:val="04A0" w:firstRow="1" w:lastRow="0" w:firstColumn="1" w:lastColumn="0" w:noHBand="0" w:noVBand="1"/>
      </w:tblPr>
      <w:tblGrid>
        <w:gridCol w:w="1650"/>
        <w:gridCol w:w="963"/>
        <w:gridCol w:w="963"/>
        <w:gridCol w:w="963"/>
        <w:gridCol w:w="963"/>
        <w:gridCol w:w="963"/>
        <w:gridCol w:w="963"/>
        <w:gridCol w:w="963"/>
        <w:gridCol w:w="963"/>
        <w:gridCol w:w="963"/>
        <w:gridCol w:w="1257"/>
      </w:tblGrid>
      <w:tr w:rsidR="00EF3714" w:rsidRPr="00EF3714" w14:paraId="24643311" w14:textId="77777777" w:rsidTr="00EF3714">
        <w:trPr>
          <w:trHeight w:val="315"/>
        </w:trPr>
        <w:tc>
          <w:tcPr>
            <w:tcW w:w="11574" w:type="dxa"/>
            <w:gridSpan w:val="11"/>
            <w:tcBorders>
              <w:top w:val="single" w:sz="4" w:space="0" w:color="auto"/>
              <w:left w:val="nil"/>
              <w:bottom w:val="single" w:sz="4" w:space="0" w:color="auto"/>
              <w:right w:val="nil"/>
            </w:tcBorders>
            <w:shd w:val="clear" w:color="auto" w:fill="auto"/>
            <w:noWrap/>
            <w:vAlign w:val="center"/>
          </w:tcPr>
          <w:p w14:paraId="70CA852E" w14:textId="0C14280B" w:rsidR="00EF3714" w:rsidRPr="00EF3714" w:rsidRDefault="00EF3714" w:rsidP="00EF3714">
            <w:pPr>
              <w:spacing w:after="0" w:line="240" w:lineRule="auto"/>
              <w:jc w:val="left"/>
              <w:rPr>
                <w:i/>
                <w:iCs/>
                <w:color w:val="000000"/>
              </w:rPr>
            </w:pPr>
            <w:r w:rsidRPr="00EF3714">
              <w:rPr>
                <w:i/>
                <w:iCs/>
                <w:color w:val="000000"/>
              </w:rPr>
              <w:t>Table 6</w:t>
            </w:r>
          </w:p>
        </w:tc>
      </w:tr>
      <w:tr w:rsidR="00EF3714" w:rsidRPr="00EF3714" w14:paraId="0C272797" w14:textId="77777777" w:rsidTr="00EF3714">
        <w:trPr>
          <w:trHeight w:val="315"/>
        </w:trPr>
        <w:tc>
          <w:tcPr>
            <w:tcW w:w="11574" w:type="dxa"/>
            <w:gridSpan w:val="11"/>
            <w:tcBorders>
              <w:top w:val="single" w:sz="4" w:space="0" w:color="auto"/>
              <w:left w:val="nil"/>
              <w:bottom w:val="single" w:sz="4" w:space="0" w:color="auto"/>
              <w:right w:val="nil"/>
            </w:tcBorders>
            <w:shd w:val="clear" w:color="auto" w:fill="auto"/>
            <w:noWrap/>
            <w:vAlign w:val="bottom"/>
          </w:tcPr>
          <w:p w14:paraId="1BC26847" w14:textId="45A2C760" w:rsidR="00EF3714" w:rsidRPr="00EF3714" w:rsidRDefault="00EF3714" w:rsidP="00EF3714">
            <w:pPr>
              <w:spacing w:after="0" w:line="240" w:lineRule="auto"/>
              <w:jc w:val="left"/>
              <w:rPr>
                <w:color w:val="000000"/>
              </w:rPr>
            </w:pPr>
            <w:r>
              <w:rPr>
                <w:color w:val="000000"/>
              </w:rPr>
              <w:t>Communality scores (</w:t>
            </w:r>
            <m:oMath>
              <m:acc>
                <m:accPr>
                  <m:chr m:val="̅"/>
                  <m:ctrlPr>
                    <w:rPr>
                      <w:rFonts w:ascii="Cambria Math" w:hAnsi="Cambria Math"/>
                      <w:i/>
                      <w:iCs/>
                    </w:rPr>
                  </m:ctrlPr>
                </m:accPr>
                <m:e>
                  <m:r>
                    <w:rPr>
                      <w:rFonts w:ascii="Cambria Math" w:hAnsi="Cambria Math"/>
                    </w:rPr>
                    <m:t>h</m:t>
                  </m:r>
                </m:e>
              </m:acc>
            </m:oMath>
            <w:r w:rsidRPr="00582CB8">
              <w:rPr>
                <w:vertAlign w:val="superscript"/>
              </w:rPr>
              <w:t>2</w:t>
            </w:r>
            <w:r w:rsidRPr="00EF3714">
              <w:t>)</w:t>
            </w:r>
            <w:r>
              <w:rPr>
                <w:color w:val="000000"/>
              </w:rPr>
              <w:t xml:space="preserve"> for the Subjective Happiness Scale (SHS)</w:t>
            </w:r>
          </w:p>
        </w:tc>
      </w:tr>
      <w:tr w:rsidR="00EF3714" w:rsidRPr="00EF3714" w14:paraId="43827AA1" w14:textId="77777777" w:rsidTr="00EF3714">
        <w:trPr>
          <w:trHeight w:val="315"/>
        </w:trPr>
        <w:tc>
          <w:tcPr>
            <w:tcW w:w="1650" w:type="dxa"/>
            <w:tcBorders>
              <w:top w:val="single" w:sz="4" w:space="0" w:color="auto"/>
              <w:left w:val="nil"/>
              <w:bottom w:val="single" w:sz="4" w:space="0" w:color="auto"/>
              <w:right w:val="nil"/>
            </w:tcBorders>
            <w:shd w:val="clear" w:color="auto" w:fill="auto"/>
            <w:noWrap/>
            <w:vAlign w:val="center"/>
            <w:hideMark/>
          </w:tcPr>
          <w:p w14:paraId="014F746A" w14:textId="77777777" w:rsidR="00EF3714" w:rsidRPr="00EF3714" w:rsidRDefault="00EF3714" w:rsidP="00EF3714">
            <w:pPr>
              <w:spacing w:after="0" w:line="240" w:lineRule="auto"/>
              <w:jc w:val="left"/>
              <w:rPr>
                <w:color w:val="000000"/>
              </w:rPr>
            </w:pPr>
            <w:r w:rsidRPr="00EF3714">
              <w:rPr>
                <w:color w:val="000000"/>
              </w:rPr>
              <w:t>Country</w:t>
            </w:r>
          </w:p>
        </w:tc>
        <w:tc>
          <w:tcPr>
            <w:tcW w:w="963" w:type="dxa"/>
            <w:tcBorders>
              <w:top w:val="single" w:sz="4" w:space="0" w:color="auto"/>
              <w:left w:val="nil"/>
              <w:bottom w:val="single" w:sz="4" w:space="0" w:color="auto"/>
              <w:right w:val="nil"/>
            </w:tcBorders>
            <w:shd w:val="clear" w:color="auto" w:fill="auto"/>
            <w:noWrap/>
            <w:vAlign w:val="center"/>
            <w:hideMark/>
          </w:tcPr>
          <w:p w14:paraId="6031C718" w14:textId="10325F29" w:rsidR="00EF3714" w:rsidRPr="00EF3714" w:rsidRDefault="00EF3714" w:rsidP="00EF3714">
            <w:pPr>
              <w:spacing w:after="0" w:line="240" w:lineRule="auto"/>
              <w:rPr>
                <w:color w:val="000000"/>
              </w:rPr>
            </w:pPr>
            <w:r>
              <w:rPr>
                <w:color w:val="000000"/>
              </w:rPr>
              <w:t xml:space="preserve">#1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70AFD396" w14:textId="7ABEF4D9" w:rsidR="00EF3714" w:rsidRPr="00EF3714" w:rsidRDefault="00EF3714" w:rsidP="00EF3714">
            <w:pPr>
              <w:spacing w:after="0" w:line="240" w:lineRule="auto"/>
              <w:rPr>
                <w:color w:val="000000"/>
              </w:rPr>
            </w:pPr>
            <w:r>
              <w:rPr>
                <w:color w:val="000000"/>
              </w:rPr>
              <w:t xml:space="preserve">#2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24550E11" w14:textId="10A51834" w:rsidR="00EF3714" w:rsidRPr="00EF3714" w:rsidRDefault="00EF3714" w:rsidP="00EF3714">
            <w:pPr>
              <w:spacing w:after="0" w:line="240" w:lineRule="auto"/>
              <w:rPr>
                <w:color w:val="000000"/>
              </w:rPr>
            </w:pPr>
            <w:r>
              <w:rPr>
                <w:color w:val="000000"/>
              </w:rPr>
              <w:t xml:space="preserve">#3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6E095D4B" w14:textId="7737B1F1" w:rsidR="00EF3714" w:rsidRPr="00EF3714" w:rsidRDefault="00EF3714" w:rsidP="00EF3714">
            <w:pPr>
              <w:spacing w:after="0" w:line="240" w:lineRule="auto"/>
              <w:rPr>
                <w:color w:val="000000"/>
              </w:rPr>
            </w:pPr>
            <w:r>
              <w:rPr>
                <w:color w:val="000000"/>
              </w:rPr>
              <w:t xml:space="preserve">#4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784CEC25" w14:textId="1AB7BDBD" w:rsidR="00EF3714" w:rsidRPr="00EF3714" w:rsidRDefault="00EF3714" w:rsidP="00EF3714">
            <w:pPr>
              <w:spacing w:after="0" w:line="240" w:lineRule="auto"/>
              <w:rPr>
                <w:color w:val="000000"/>
              </w:rPr>
            </w:pPr>
            <w:r>
              <w:rPr>
                <w:color w:val="000000"/>
              </w:rPr>
              <w:t xml:space="preserve">#5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3A0C48D8" w14:textId="2E66B475" w:rsidR="00EF3714" w:rsidRPr="00EF3714" w:rsidRDefault="00EF3714" w:rsidP="00EF3714">
            <w:pPr>
              <w:spacing w:after="0" w:line="240" w:lineRule="auto"/>
              <w:rPr>
                <w:color w:val="000000"/>
              </w:rPr>
            </w:pPr>
            <w:r>
              <w:rPr>
                <w:color w:val="000000"/>
              </w:rPr>
              <w:t xml:space="preserve">#6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0453549F" w14:textId="2616DDA2" w:rsidR="00EF3714" w:rsidRPr="00EF3714" w:rsidRDefault="00EF3714" w:rsidP="00EF3714">
            <w:pPr>
              <w:spacing w:after="0" w:line="240" w:lineRule="auto"/>
              <w:rPr>
                <w:color w:val="000000"/>
              </w:rPr>
            </w:pPr>
            <w:r>
              <w:rPr>
                <w:color w:val="000000"/>
              </w:rPr>
              <w:t xml:space="preserve">#7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0BE21C8D" w14:textId="543D90AC" w:rsidR="00EF3714" w:rsidRPr="00EF3714" w:rsidRDefault="00EF3714" w:rsidP="00EF3714">
            <w:pPr>
              <w:spacing w:after="0" w:line="240" w:lineRule="auto"/>
              <w:rPr>
                <w:color w:val="000000"/>
              </w:rPr>
            </w:pPr>
            <w:r>
              <w:rPr>
                <w:color w:val="000000"/>
              </w:rPr>
              <w:t xml:space="preserve">#8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963" w:type="dxa"/>
            <w:tcBorders>
              <w:top w:val="single" w:sz="4" w:space="0" w:color="auto"/>
              <w:left w:val="nil"/>
              <w:bottom w:val="single" w:sz="4" w:space="0" w:color="auto"/>
              <w:right w:val="nil"/>
            </w:tcBorders>
            <w:shd w:val="clear" w:color="auto" w:fill="auto"/>
            <w:noWrap/>
            <w:vAlign w:val="center"/>
            <w:hideMark/>
          </w:tcPr>
          <w:p w14:paraId="7C6DF6F4" w14:textId="4C4702E9" w:rsidR="00EF3714" w:rsidRPr="00EF3714" w:rsidRDefault="00EF3714" w:rsidP="00EF3714">
            <w:pPr>
              <w:spacing w:after="0" w:line="240" w:lineRule="auto"/>
              <w:rPr>
                <w:color w:val="000000"/>
              </w:rPr>
            </w:pPr>
            <w:r>
              <w:rPr>
                <w:color w:val="000000"/>
              </w:rPr>
              <w:t xml:space="preserve">#9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c>
          <w:tcPr>
            <w:tcW w:w="1257" w:type="dxa"/>
            <w:tcBorders>
              <w:top w:val="single" w:sz="4" w:space="0" w:color="auto"/>
              <w:left w:val="nil"/>
              <w:bottom w:val="single" w:sz="4" w:space="0" w:color="auto"/>
              <w:right w:val="nil"/>
            </w:tcBorders>
            <w:shd w:val="clear" w:color="auto" w:fill="auto"/>
            <w:noWrap/>
            <w:vAlign w:val="center"/>
            <w:hideMark/>
          </w:tcPr>
          <w:p w14:paraId="21A7F584" w14:textId="2DF376AA" w:rsidR="00EF3714" w:rsidRPr="00EF3714" w:rsidRDefault="00EF3714" w:rsidP="00EF3714">
            <w:pPr>
              <w:spacing w:after="0" w:line="240" w:lineRule="auto"/>
              <w:rPr>
                <w:color w:val="000000"/>
              </w:rPr>
            </w:pPr>
            <w:r>
              <w:rPr>
                <w:color w:val="000000"/>
              </w:rPr>
              <w:t xml:space="preserve">Avg </w:t>
            </w:r>
            <m:oMath>
              <m:acc>
                <m:accPr>
                  <m:chr m:val="̅"/>
                  <m:ctrlPr>
                    <w:rPr>
                      <w:rFonts w:ascii="Cambria Math" w:hAnsi="Cambria Math"/>
                      <w:i/>
                      <w:iCs/>
                    </w:rPr>
                  </m:ctrlPr>
                </m:accPr>
                <m:e>
                  <m:r>
                    <w:rPr>
                      <w:rFonts w:ascii="Cambria Math" w:hAnsi="Cambria Math"/>
                    </w:rPr>
                    <m:t>h</m:t>
                  </m:r>
                </m:e>
              </m:acc>
            </m:oMath>
            <w:r w:rsidRPr="00582CB8">
              <w:rPr>
                <w:vertAlign w:val="superscript"/>
              </w:rPr>
              <w:t>2</w:t>
            </w:r>
          </w:p>
        </w:tc>
      </w:tr>
      <w:tr w:rsidR="00EF3714" w:rsidRPr="00EF3714" w14:paraId="34675AE9" w14:textId="77777777" w:rsidTr="00EF3714">
        <w:trPr>
          <w:trHeight w:val="315"/>
        </w:trPr>
        <w:tc>
          <w:tcPr>
            <w:tcW w:w="1650" w:type="dxa"/>
            <w:tcBorders>
              <w:top w:val="single" w:sz="4" w:space="0" w:color="auto"/>
              <w:left w:val="nil"/>
              <w:bottom w:val="nil"/>
              <w:right w:val="nil"/>
            </w:tcBorders>
            <w:shd w:val="clear" w:color="auto" w:fill="auto"/>
            <w:noWrap/>
            <w:vAlign w:val="center"/>
            <w:hideMark/>
          </w:tcPr>
          <w:p w14:paraId="7FA75CBC" w14:textId="77777777" w:rsidR="00EF3714" w:rsidRPr="00EF3714" w:rsidRDefault="00EF3714" w:rsidP="00EF3714">
            <w:pPr>
              <w:spacing w:after="0" w:line="240" w:lineRule="auto"/>
              <w:jc w:val="left"/>
              <w:rPr>
                <w:color w:val="000000"/>
              </w:rPr>
            </w:pPr>
            <w:r w:rsidRPr="00EF3714">
              <w:rPr>
                <w:color w:val="000000"/>
              </w:rPr>
              <w:t>Argentina</w:t>
            </w:r>
          </w:p>
        </w:tc>
        <w:tc>
          <w:tcPr>
            <w:tcW w:w="963" w:type="dxa"/>
            <w:tcBorders>
              <w:top w:val="single" w:sz="4" w:space="0" w:color="auto"/>
              <w:left w:val="nil"/>
              <w:bottom w:val="nil"/>
              <w:right w:val="nil"/>
            </w:tcBorders>
            <w:shd w:val="clear" w:color="auto" w:fill="auto"/>
            <w:noWrap/>
            <w:vAlign w:val="center"/>
            <w:hideMark/>
          </w:tcPr>
          <w:p w14:paraId="529D87DD"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single" w:sz="4" w:space="0" w:color="auto"/>
              <w:left w:val="nil"/>
              <w:bottom w:val="nil"/>
              <w:right w:val="nil"/>
            </w:tcBorders>
            <w:shd w:val="clear" w:color="auto" w:fill="auto"/>
            <w:noWrap/>
            <w:vAlign w:val="center"/>
            <w:hideMark/>
          </w:tcPr>
          <w:p w14:paraId="007214F6"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single" w:sz="4" w:space="0" w:color="auto"/>
              <w:left w:val="nil"/>
              <w:bottom w:val="nil"/>
              <w:right w:val="nil"/>
            </w:tcBorders>
            <w:shd w:val="clear" w:color="auto" w:fill="auto"/>
            <w:noWrap/>
            <w:vAlign w:val="center"/>
            <w:hideMark/>
          </w:tcPr>
          <w:p w14:paraId="339AD585" w14:textId="77777777" w:rsidR="00EF3714" w:rsidRPr="00EF3714" w:rsidRDefault="00EF3714" w:rsidP="00EF3714">
            <w:pPr>
              <w:spacing w:after="0" w:line="240" w:lineRule="auto"/>
              <w:rPr>
                <w:color w:val="000000"/>
              </w:rPr>
            </w:pPr>
            <w:r w:rsidRPr="00EF3714">
              <w:rPr>
                <w:color w:val="000000"/>
              </w:rPr>
              <w:t>.34</w:t>
            </w:r>
          </w:p>
        </w:tc>
        <w:tc>
          <w:tcPr>
            <w:tcW w:w="963" w:type="dxa"/>
            <w:tcBorders>
              <w:top w:val="single" w:sz="4" w:space="0" w:color="auto"/>
              <w:left w:val="nil"/>
              <w:bottom w:val="nil"/>
              <w:right w:val="nil"/>
            </w:tcBorders>
            <w:shd w:val="clear" w:color="auto" w:fill="auto"/>
            <w:noWrap/>
            <w:vAlign w:val="center"/>
            <w:hideMark/>
          </w:tcPr>
          <w:p w14:paraId="55FE12FA"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single" w:sz="4" w:space="0" w:color="auto"/>
              <w:left w:val="nil"/>
              <w:bottom w:val="nil"/>
              <w:right w:val="nil"/>
            </w:tcBorders>
            <w:shd w:val="clear" w:color="auto" w:fill="auto"/>
            <w:noWrap/>
            <w:vAlign w:val="center"/>
            <w:hideMark/>
          </w:tcPr>
          <w:p w14:paraId="0F2AE6FD"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single" w:sz="4" w:space="0" w:color="auto"/>
              <w:left w:val="nil"/>
              <w:bottom w:val="nil"/>
              <w:right w:val="nil"/>
            </w:tcBorders>
            <w:shd w:val="clear" w:color="auto" w:fill="auto"/>
            <w:noWrap/>
            <w:vAlign w:val="center"/>
            <w:hideMark/>
          </w:tcPr>
          <w:p w14:paraId="7BEC31C0"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single" w:sz="4" w:space="0" w:color="auto"/>
              <w:left w:val="nil"/>
              <w:bottom w:val="nil"/>
              <w:right w:val="nil"/>
            </w:tcBorders>
            <w:shd w:val="clear" w:color="auto" w:fill="auto"/>
            <w:noWrap/>
            <w:vAlign w:val="center"/>
            <w:hideMark/>
          </w:tcPr>
          <w:p w14:paraId="2F3D9BA5"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single" w:sz="4" w:space="0" w:color="auto"/>
              <w:left w:val="nil"/>
              <w:bottom w:val="nil"/>
              <w:right w:val="nil"/>
            </w:tcBorders>
            <w:shd w:val="clear" w:color="auto" w:fill="auto"/>
            <w:noWrap/>
            <w:vAlign w:val="center"/>
            <w:hideMark/>
          </w:tcPr>
          <w:p w14:paraId="6988DD62" w14:textId="77777777" w:rsidR="00EF3714" w:rsidRPr="00EF3714" w:rsidRDefault="00EF3714" w:rsidP="00EF3714">
            <w:pPr>
              <w:spacing w:after="0" w:line="240" w:lineRule="auto"/>
              <w:rPr>
                <w:color w:val="000000"/>
              </w:rPr>
            </w:pPr>
            <w:r w:rsidRPr="00EF3714">
              <w:rPr>
                <w:color w:val="000000"/>
              </w:rPr>
              <w:t>.65</w:t>
            </w:r>
          </w:p>
        </w:tc>
        <w:tc>
          <w:tcPr>
            <w:tcW w:w="963" w:type="dxa"/>
            <w:tcBorders>
              <w:top w:val="single" w:sz="4" w:space="0" w:color="auto"/>
              <w:left w:val="nil"/>
              <w:bottom w:val="nil"/>
              <w:right w:val="nil"/>
            </w:tcBorders>
            <w:shd w:val="clear" w:color="auto" w:fill="auto"/>
            <w:noWrap/>
            <w:vAlign w:val="center"/>
            <w:hideMark/>
          </w:tcPr>
          <w:p w14:paraId="42A1EDA4" w14:textId="77777777" w:rsidR="00EF3714" w:rsidRPr="00EF3714" w:rsidRDefault="00EF3714" w:rsidP="00EF3714">
            <w:pPr>
              <w:spacing w:after="0" w:line="240" w:lineRule="auto"/>
              <w:rPr>
                <w:color w:val="000000"/>
              </w:rPr>
            </w:pPr>
            <w:r w:rsidRPr="00EF3714">
              <w:rPr>
                <w:color w:val="000000"/>
              </w:rPr>
              <w:t>1.00</w:t>
            </w:r>
          </w:p>
        </w:tc>
        <w:tc>
          <w:tcPr>
            <w:tcW w:w="1257" w:type="dxa"/>
            <w:tcBorders>
              <w:top w:val="single" w:sz="4" w:space="0" w:color="auto"/>
              <w:left w:val="nil"/>
              <w:bottom w:val="nil"/>
              <w:right w:val="nil"/>
            </w:tcBorders>
            <w:shd w:val="clear" w:color="auto" w:fill="auto"/>
            <w:noWrap/>
            <w:vAlign w:val="center"/>
            <w:hideMark/>
          </w:tcPr>
          <w:p w14:paraId="59267BC7"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0761D820" w14:textId="77777777" w:rsidTr="00EF3714">
        <w:trPr>
          <w:trHeight w:val="315"/>
        </w:trPr>
        <w:tc>
          <w:tcPr>
            <w:tcW w:w="1650" w:type="dxa"/>
            <w:tcBorders>
              <w:top w:val="nil"/>
              <w:left w:val="nil"/>
              <w:bottom w:val="nil"/>
              <w:right w:val="nil"/>
            </w:tcBorders>
            <w:shd w:val="clear" w:color="auto" w:fill="auto"/>
            <w:noWrap/>
            <w:vAlign w:val="center"/>
            <w:hideMark/>
          </w:tcPr>
          <w:p w14:paraId="7C175968" w14:textId="77777777" w:rsidR="00EF3714" w:rsidRPr="00EF3714" w:rsidRDefault="00EF3714" w:rsidP="00EF3714">
            <w:pPr>
              <w:spacing w:after="0" w:line="240" w:lineRule="auto"/>
              <w:jc w:val="left"/>
              <w:rPr>
                <w:color w:val="000000"/>
              </w:rPr>
            </w:pPr>
            <w:r w:rsidRPr="00EF3714">
              <w:rPr>
                <w:color w:val="000000"/>
              </w:rPr>
              <w:t>Australia</w:t>
            </w:r>
          </w:p>
        </w:tc>
        <w:tc>
          <w:tcPr>
            <w:tcW w:w="963" w:type="dxa"/>
            <w:tcBorders>
              <w:top w:val="nil"/>
              <w:left w:val="nil"/>
              <w:bottom w:val="nil"/>
              <w:right w:val="nil"/>
            </w:tcBorders>
            <w:shd w:val="clear" w:color="auto" w:fill="auto"/>
            <w:noWrap/>
            <w:vAlign w:val="center"/>
            <w:hideMark/>
          </w:tcPr>
          <w:p w14:paraId="26CDF6E6"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4685A2CE"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0FC39D18" w14:textId="77777777" w:rsidR="00EF3714" w:rsidRPr="00EF3714" w:rsidRDefault="00EF3714" w:rsidP="00EF3714">
            <w:pPr>
              <w:spacing w:after="0" w:line="240" w:lineRule="auto"/>
              <w:rPr>
                <w:color w:val="000000"/>
              </w:rPr>
            </w:pPr>
            <w:r w:rsidRPr="00EF3714">
              <w:rPr>
                <w:color w:val="000000"/>
              </w:rPr>
              <w:t>.81</w:t>
            </w:r>
          </w:p>
        </w:tc>
        <w:tc>
          <w:tcPr>
            <w:tcW w:w="963" w:type="dxa"/>
            <w:tcBorders>
              <w:top w:val="nil"/>
              <w:left w:val="nil"/>
              <w:bottom w:val="nil"/>
              <w:right w:val="nil"/>
            </w:tcBorders>
            <w:shd w:val="clear" w:color="auto" w:fill="auto"/>
            <w:noWrap/>
            <w:vAlign w:val="center"/>
            <w:hideMark/>
          </w:tcPr>
          <w:p w14:paraId="5E6E568B"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49FAEE82" w14:textId="77777777" w:rsidR="00EF3714" w:rsidRPr="00EF3714" w:rsidRDefault="00EF3714" w:rsidP="00EF3714">
            <w:pPr>
              <w:spacing w:after="0" w:line="240" w:lineRule="auto"/>
              <w:rPr>
                <w:color w:val="000000"/>
              </w:rPr>
            </w:pPr>
            <w:r w:rsidRPr="00EF3714">
              <w:rPr>
                <w:color w:val="000000"/>
              </w:rPr>
              <w:t>.68</w:t>
            </w:r>
          </w:p>
        </w:tc>
        <w:tc>
          <w:tcPr>
            <w:tcW w:w="963" w:type="dxa"/>
            <w:tcBorders>
              <w:top w:val="nil"/>
              <w:left w:val="nil"/>
              <w:bottom w:val="nil"/>
              <w:right w:val="nil"/>
            </w:tcBorders>
            <w:shd w:val="clear" w:color="auto" w:fill="auto"/>
            <w:noWrap/>
            <w:vAlign w:val="center"/>
            <w:hideMark/>
          </w:tcPr>
          <w:p w14:paraId="3A9CCD2A" w14:textId="77777777" w:rsidR="00EF3714" w:rsidRPr="00EF3714" w:rsidRDefault="00EF3714" w:rsidP="00EF3714">
            <w:pPr>
              <w:spacing w:after="0" w:line="240" w:lineRule="auto"/>
              <w:rPr>
                <w:color w:val="000000"/>
              </w:rPr>
            </w:pPr>
            <w:r w:rsidRPr="00EF3714">
              <w:rPr>
                <w:color w:val="000000"/>
              </w:rPr>
              <w:t>.15</w:t>
            </w:r>
          </w:p>
        </w:tc>
        <w:tc>
          <w:tcPr>
            <w:tcW w:w="963" w:type="dxa"/>
            <w:tcBorders>
              <w:top w:val="nil"/>
              <w:left w:val="nil"/>
              <w:bottom w:val="nil"/>
              <w:right w:val="nil"/>
            </w:tcBorders>
            <w:shd w:val="clear" w:color="auto" w:fill="auto"/>
            <w:noWrap/>
            <w:vAlign w:val="center"/>
            <w:hideMark/>
          </w:tcPr>
          <w:p w14:paraId="2C77993A" w14:textId="77777777" w:rsidR="00EF3714" w:rsidRPr="00EF3714" w:rsidRDefault="00EF3714" w:rsidP="00EF3714">
            <w:pPr>
              <w:spacing w:after="0" w:line="240" w:lineRule="auto"/>
              <w:rPr>
                <w:color w:val="000000"/>
              </w:rPr>
            </w:pPr>
            <w:r w:rsidRPr="00EF3714">
              <w:rPr>
                <w:color w:val="000000"/>
              </w:rPr>
              <w:t>.57</w:t>
            </w:r>
          </w:p>
        </w:tc>
        <w:tc>
          <w:tcPr>
            <w:tcW w:w="963" w:type="dxa"/>
            <w:tcBorders>
              <w:top w:val="nil"/>
              <w:left w:val="nil"/>
              <w:bottom w:val="nil"/>
              <w:right w:val="nil"/>
            </w:tcBorders>
            <w:shd w:val="clear" w:color="auto" w:fill="auto"/>
            <w:noWrap/>
            <w:vAlign w:val="center"/>
            <w:hideMark/>
          </w:tcPr>
          <w:p w14:paraId="033E1F2A" w14:textId="77777777" w:rsidR="00EF3714" w:rsidRPr="00EF3714" w:rsidRDefault="00EF3714" w:rsidP="00EF3714">
            <w:pPr>
              <w:spacing w:after="0" w:line="240" w:lineRule="auto"/>
              <w:rPr>
                <w:color w:val="000000"/>
              </w:rPr>
            </w:pPr>
            <w:r w:rsidRPr="00EF3714">
              <w:rPr>
                <w:color w:val="000000"/>
              </w:rPr>
              <w:t>.37</w:t>
            </w:r>
          </w:p>
        </w:tc>
        <w:tc>
          <w:tcPr>
            <w:tcW w:w="963" w:type="dxa"/>
            <w:tcBorders>
              <w:top w:val="nil"/>
              <w:left w:val="nil"/>
              <w:bottom w:val="nil"/>
              <w:right w:val="nil"/>
            </w:tcBorders>
            <w:shd w:val="clear" w:color="auto" w:fill="auto"/>
            <w:noWrap/>
            <w:vAlign w:val="center"/>
            <w:hideMark/>
          </w:tcPr>
          <w:p w14:paraId="013E409D" w14:textId="77777777" w:rsidR="00EF3714" w:rsidRPr="00EF3714" w:rsidRDefault="00EF3714" w:rsidP="00EF3714">
            <w:pPr>
              <w:spacing w:after="0" w:line="240" w:lineRule="auto"/>
              <w:rPr>
                <w:color w:val="000000"/>
              </w:rPr>
            </w:pPr>
            <w:r w:rsidRPr="00EF3714">
              <w:rPr>
                <w:color w:val="000000"/>
              </w:rPr>
              <w:t>.51</w:t>
            </w:r>
          </w:p>
        </w:tc>
        <w:tc>
          <w:tcPr>
            <w:tcW w:w="1257" w:type="dxa"/>
            <w:tcBorders>
              <w:top w:val="nil"/>
              <w:left w:val="nil"/>
              <w:bottom w:val="nil"/>
              <w:right w:val="nil"/>
            </w:tcBorders>
            <w:shd w:val="clear" w:color="auto" w:fill="auto"/>
            <w:noWrap/>
            <w:vAlign w:val="center"/>
            <w:hideMark/>
          </w:tcPr>
          <w:p w14:paraId="4C417CE9" w14:textId="77777777" w:rsidR="00EF3714" w:rsidRPr="00EF3714" w:rsidRDefault="00EF3714" w:rsidP="00EF3714">
            <w:pPr>
              <w:spacing w:after="0" w:line="240" w:lineRule="auto"/>
              <w:rPr>
                <w:color w:val="000000"/>
              </w:rPr>
            </w:pPr>
            <w:r w:rsidRPr="00EF3714">
              <w:rPr>
                <w:color w:val="000000"/>
              </w:rPr>
              <w:t>.45</w:t>
            </w:r>
          </w:p>
        </w:tc>
      </w:tr>
      <w:tr w:rsidR="00EF3714" w:rsidRPr="00EF3714" w14:paraId="217E4006" w14:textId="77777777" w:rsidTr="00EF3714">
        <w:trPr>
          <w:trHeight w:val="315"/>
        </w:trPr>
        <w:tc>
          <w:tcPr>
            <w:tcW w:w="1650" w:type="dxa"/>
            <w:tcBorders>
              <w:top w:val="nil"/>
              <w:left w:val="nil"/>
              <w:bottom w:val="nil"/>
              <w:right w:val="nil"/>
            </w:tcBorders>
            <w:shd w:val="clear" w:color="auto" w:fill="auto"/>
            <w:noWrap/>
            <w:vAlign w:val="center"/>
            <w:hideMark/>
          </w:tcPr>
          <w:p w14:paraId="4FACF00F" w14:textId="77777777" w:rsidR="00EF3714" w:rsidRPr="00EF3714" w:rsidRDefault="00EF3714" w:rsidP="00EF3714">
            <w:pPr>
              <w:spacing w:after="0" w:line="240" w:lineRule="auto"/>
              <w:jc w:val="left"/>
              <w:rPr>
                <w:color w:val="000000"/>
              </w:rPr>
            </w:pPr>
            <w:r w:rsidRPr="00EF3714">
              <w:rPr>
                <w:color w:val="000000"/>
              </w:rPr>
              <w:t>Austria</w:t>
            </w:r>
          </w:p>
        </w:tc>
        <w:tc>
          <w:tcPr>
            <w:tcW w:w="963" w:type="dxa"/>
            <w:tcBorders>
              <w:top w:val="nil"/>
              <w:left w:val="nil"/>
              <w:bottom w:val="nil"/>
              <w:right w:val="nil"/>
            </w:tcBorders>
            <w:shd w:val="clear" w:color="auto" w:fill="auto"/>
            <w:noWrap/>
            <w:vAlign w:val="center"/>
            <w:hideMark/>
          </w:tcPr>
          <w:p w14:paraId="38823E46"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779BE090" w14:textId="77777777" w:rsidR="00EF3714" w:rsidRPr="00EF3714" w:rsidRDefault="00EF3714" w:rsidP="00EF3714">
            <w:pPr>
              <w:spacing w:after="0" w:line="240" w:lineRule="auto"/>
              <w:rPr>
                <w:color w:val="000000"/>
              </w:rPr>
            </w:pPr>
            <w:r w:rsidRPr="00EF3714">
              <w:rPr>
                <w:color w:val="000000"/>
              </w:rPr>
              <w:t>.17</w:t>
            </w:r>
          </w:p>
        </w:tc>
        <w:tc>
          <w:tcPr>
            <w:tcW w:w="963" w:type="dxa"/>
            <w:tcBorders>
              <w:top w:val="nil"/>
              <w:left w:val="nil"/>
              <w:bottom w:val="nil"/>
              <w:right w:val="nil"/>
            </w:tcBorders>
            <w:shd w:val="clear" w:color="auto" w:fill="auto"/>
            <w:noWrap/>
            <w:vAlign w:val="center"/>
            <w:hideMark/>
          </w:tcPr>
          <w:p w14:paraId="3202EC0D"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35266C64" w14:textId="77777777" w:rsidR="00EF3714" w:rsidRPr="00EF3714" w:rsidRDefault="00EF3714" w:rsidP="00EF3714">
            <w:pPr>
              <w:spacing w:after="0" w:line="240" w:lineRule="auto"/>
              <w:rPr>
                <w:color w:val="000000"/>
              </w:rPr>
            </w:pPr>
            <w:r w:rsidRPr="00EF3714">
              <w:rPr>
                <w:color w:val="000000"/>
              </w:rPr>
              <w:t>.08</w:t>
            </w:r>
          </w:p>
        </w:tc>
        <w:tc>
          <w:tcPr>
            <w:tcW w:w="963" w:type="dxa"/>
            <w:tcBorders>
              <w:top w:val="nil"/>
              <w:left w:val="nil"/>
              <w:bottom w:val="nil"/>
              <w:right w:val="nil"/>
            </w:tcBorders>
            <w:shd w:val="clear" w:color="auto" w:fill="auto"/>
            <w:noWrap/>
            <w:vAlign w:val="center"/>
            <w:hideMark/>
          </w:tcPr>
          <w:p w14:paraId="1E18FE9D"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3FEC8F0C"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71389A2B"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nil"/>
              <w:right w:val="nil"/>
            </w:tcBorders>
            <w:shd w:val="clear" w:color="auto" w:fill="auto"/>
            <w:noWrap/>
            <w:vAlign w:val="center"/>
            <w:hideMark/>
          </w:tcPr>
          <w:p w14:paraId="237F6985"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69FFDD91" w14:textId="77777777" w:rsidR="00EF3714" w:rsidRPr="00EF3714" w:rsidRDefault="00EF3714" w:rsidP="00EF3714">
            <w:pPr>
              <w:spacing w:after="0" w:line="240" w:lineRule="auto"/>
              <w:rPr>
                <w:color w:val="000000"/>
              </w:rPr>
            </w:pPr>
            <w:r w:rsidRPr="00EF3714">
              <w:rPr>
                <w:color w:val="000000"/>
              </w:rPr>
              <w:t>.46</w:t>
            </w:r>
          </w:p>
        </w:tc>
        <w:tc>
          <w:tcPr>
            <w:tcW w:w="1257" w:type="dxa"/>
            <w:tcBorders>
              <w:top w:val="nil"/>
              <w:left w:val="nil"/>
              <w:bottom w:val="nil"/>
              <w:right w:val="nil"/>
            </w:tcBorders>
            <w:shd w:val="clear" w:color="auto" w:fill="auto"/>
            <w:noWrap/>
            <w:vAlign w:val="center"/>
            <w:hideMark/>
          </w:tcPr>
          <w:p w14:paraId="17E4041B" w14:textId="77777777" w:rsidR="00EF3714" w:rsidRPr="00EF3714" w:rsidRDefault="00EF3714" w:rsidP="00EF3714">
            <w:pPr>
              <w:spacing w:after="0" w:line="240" w:lineRule="auto"/>
              <w:rPr>
                <w:color w:val="000000"/>
              </w:rPr>
            </w:pPr>
            <w:r w:rsidRPr="00EF3714">
              <w:rPr>
                <w:color w:val="000000"/>
              </w:rPr>
              <w:t>.41</w:t>
            </w:r>
          </w:p>
        </w:tc>
      </w:tr>
      <w:tr w:rsidR="00EF3714" w:rsidRPr="00EF3714" w14:paraId="037B7EBF" w14:textId="77777777" w:rsidTr="00EF3714">
        <w:trPr>
          <w:trHeight w:val="315"/>
        </w:trPr>
        <w:tc>
          <w:tcPr>
            <w:tcW w:w="1650" w:type="dxa"/>
            <w:tcBorders>
              <w:top w:val="nil"/>
              <w:left w:val="nil"/>
              <w:bottom w:val="nil"/>
              <w:right w:val="nil"/>
            </w:tcBorders>
            <w:shd w:val="clear" w:color="auto" w:fill="auto"/>
            <w:noWrap/>
            <w:vAlign w:val="center"/>
            <w:hideMark/>
          </w:tcPr>
          <w:p w14:paraId="036AF336" w14:textId="77777777" w:rsidR="00EF3714" w:rsidRPr="00EF3714" w:rsidRDefault="00EF3714" w:rsidP="00EF3714">
            <w:pPr>
              <w:spacing w:after="0" w:line="240" w:lineRule="auto"/>
              <w:jc w:val="left"/>
              <w:rPr>
                <w:color w:val="000000"/>
              </w:rPr>
            </w:pPr>
            <w:r w:rsidRPr="00EF3714">
              <w:rPr>
                <w:color w:val="000000"/>
              </w:rPr>
              <w:t>Belgium</w:t>
            </w:r>
          </w:p>
        </w:tc>
        <w:tc>
          <w:tcPr>
            <w:tcW w:w="963" w:type="dxa"/>
            <w:tcBorders>
              <w:top w:val="nil"/>
              <w:left w:val="nil"/>
              <w:bottom w:val="nil"/>
              <w:right w:val="nil"/>
            </w:tcBorders>
            <w:shd w:val="clear" w:color="auto" w:fill="auto"/>
            <w:noWrap/>
            <w:vAlign w:val="center"/>
            <w:hideMark/>
          </w:tcPr>
          <w:p w14:paraId="3901079B"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778D867E"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0B6D9107"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056179C3" w14:textId="77777777" w:rsidR="00EF3714" w:rsidRPr="00EF3714" w:rsidRDefault="00EF3714" w:rsidP="00EF3714">
            <w:pPr>
              <w:spacing w:after="0" w:line="240" w:lineRule="auto"/>
              <w:rPr>
                <w:color w:val="000000"/>
              </w:rPr>
            </w:pPr>
            <w:r w:rsidRPr="00EF3714">
              <w:rPr>
                <w:color w:val="000000"/>
              </w:rPr>
              <w:t>.16</w:t>
            </w:r>
          </w:p>
        </w:tc>
        <w:tc>
          <w:tcPr>
            <w:tcW w:w="963" w:type="dxa"/>
            <w:tcBorders>
              <w:top w:val="nil"/>
              <w:left w:val="nil"/>
              <w:bottom w:val="nil"/>
              <w:right w:val="nil"/>
            </w:tcBorders>
            <w:shd w:val="clear" w:color="auto" w:fill="auto"/>
            <w:noWrap/>
            <w:vAlign w:val="center"/>
            <w:hideMark/>
          </w:tcPr>
          <w:p w14:paraId="0788D482" w14:textId="77777777" w:rsidR="00EF3714" w:rsidRPr="00EF3714" w:rsidRDefault="00EF3714" w:rsidP="00EF3714">
            <w:pPr>
              <w:spacing w:after="0" w:line="240" w:lineRule="auto"/>
              <w:rPr>
                <w:color w:val="000000"/>
              </w:rPr>
            </w:pPr>
            <w:r w:rsidRPr="00EF3714">
              <w:rPr>
                <w:color w:val="000000"/>
              </w:rPr>
              <w:t>.13</w:t>
            </w:r>
          </w:p>
        </w:tc>
        <w:tc>
          <w:tcPr>
            <w:tcW w:w="963" w:type="dxa"/>
            <w:tcBorders>
              <w:top w:val="nil"/>
              <w:left w:val="nil"/>
              <w:bottom w:val="nil"/>
              <w:right w:val="nil"/>
            </w:tcBorders>
            <w:shd w:val="clear" w:color="auto" w:fill="auto"/>
            <w:noWrap/>
            <w:vAlign w:val="center"/>
            <w:hideMark/>
          </w:tcPr>
          <w:p w14:paraId="274D2837" w14:textId="77777777" w:rsidR="00EF3714" w:rsidRPr="00EF3714" w:rsidRDefault="00EF3714" w:rsidP="00EF3714">
            <w:pPr>
              <w:spacing w:after="0" w:line="240" w:lineRule="auto"/>
              <w:rPr>
                <w:color w:val="000000"/>
              </w:rPr>
            </w:pPr>
            <w:r w:rsidRPr="00EF3714">
              <w:rPr>
                <w:color w:val="000000"/>
              </w:rPr>
              <w:t>.26</w:t>
            </w:r>
          </w:p>
        </w:tc>
        <w:tc>
          <w:tcPr>
            <w:tcW w:w="963" w:type="dxa"/>
            <w:tcBorders>
              <w:top w:val="nil"/>
              <w:left w:val="nil"/>
              <w:bottom w:val="nil"/>
              <w:right w:val="nil"/>
            </w:tcBorders>
            <w:shd w:val="clear" w:color="auto" w:fill="auto"/>
            <w:noWrap/>
            <w:vAlign w:val="center"/>
            <w:hideMark/>
          </w:tcPr>
          <w:p w14:paraId="560C872B"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39AA5783" w14:textId="77777777" w:rsidR="00EF3714" w:rsidRPr="00EF3714" w:rsidRDefault="00EF3714" w:rsidP="00EF3714">
            <w:pPr>
              <w:spacing w:after="0" w:line="240" w:lineRule="auto"/>
              <w:rPr>
                <w:color w:val="000000"/>
              </w:rPr>
            </w:pPr>
            <w:r w:rsidRPr="00EF3714">
              <w:rPr>
                <w:color w:val="000000"/>
              </w:rPr>
              <w:t>.64</w:t>
            </w:r>
          </w:p>
        </w:tc>
        <w:tc>
          <w:tcPr>
            <w:tcW w:w="963" w:type="dxa"/>
            <w:tcBorders>
              <w:top w:val="nil"/>
              <w:left w:val="nil"/>
              <w:bottom w:val="nil"/>
              <w:right w:val="nil"/>
            </w:tcBorders>
            <w:shd w:val="clear" w:color="auto" w:fill="auto"/>
            <w:noWrap/>
            <w:vAlign w:val="center"/>
            <w:hideMark/>
          </w:tcPr>
          <w:p w14:paraId="56EBFCBA" w14:textId="77777777" w:rsidR="00EF3714" w:rsidRPr="00EF3714" w:rsidRDefault="00EF3714" w:rsidP="00EF3714">
            <w:pPr>
              <w:spacing w:after="0" w:line="240" w:lineRule="auto"/>
              <w:rPr>
                <w:color w:val="000000"/>
              </w:rPr>
            </w:pPr>
            <w:r w:rsidRPr="00EF3714">
              <w:rPr>
                <w:color w:val="000000"/>
              </w:rPr>
              <w:t>1.00</w:t>
            </w:r>
          </w:p>
        </w:tc>
        <w:tc>
          <w:tcPr>
            <w:tcW w:w="1257" w:type="dxa"/>
            <w:tcBorders>
              <w:top w:val="nil"/>
              <w:left w:val="nil"/>
              <w:bottom w:val="nil"/>
              <w:right w:val="nil"/>
            </w:tcBorders>
            <w:shd w:val="clear" w:color="auto" w:fill="auto"/>
            <w:noWrap/>
            <w:vAlign w:val="center"/>
            <w:hideMark/>
          </w:tcPr>
          <w:p w14:paraId="364B57FE"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11640CC5" w14:textId="77777777" w:rsidTr="00EF3714">
        <w:trPr>
          <w:trHeight w:val="315"/>
        </w:trPr>
        <w:tc>
          <w:tcPr>
            <w:tcW w:w="1650" w:type="dxa"/>
            <w:tcBorders>
              <w:top w:val="nil"/>
              <w:left w:val="nil"/>
              <w:bottom w:val="nil"/>
              <w:right w:val="nil"/>
            </w:tcBorders>
            <w:shd w:val="clear" w:color="auto" w:fill="auto"/>
            <w:noWrap/>
            <w:vAlign w:val="center"/>
            <w:hideMark/>
          </w:tcPr>
          <w:p w14:paraId="33BA2633" w14:textId="77777777" w:rsidR="00EF3714" w:rsidRPr="00EF3714" w:rsidRDefault="00EF3714" w:rsidP="00EF3714">
            <w:pPr>
              <w:spacing w:after="0" w:line="240" w:lineRule="auto"/>
              <w:jc w:val="left"/>
              <w:rPr>
                <w:color w:val="000000"/>
              </w:rPr>
            </w:pPr>
            <w:r w:rsidRPr="00EF3714">
              <w:rPr>
                <w:color w:val="000000"/>
              </w:rPr>
              <w:t>Bolivia</w:t>
            </w:r>
          </w:p>
        </w:tc>
        <w:tc>
          <w:tcPr>
            <w:tcW w:w="963" w:type="dxa"/>
            <w:tcBorders>
              <w:top w:val="nil"/>
              <w:left w:val="nil"/>
              <w:bottom w:val="nil"/>
              <w:right w:val="nil"/>
            </w:tcBorders>
            <w:shd w:val="clear" w:color="auto" w:fill="auto"/>
            <w:noWrap/>
            <w:vAlign w:val="center"/>
            <w:hideMark/>
          </w:tcPr>
          <w:p w14:paraId="075850F1" w14:textId="77777777" w:rsidR="00EF3714" w:rsidRPr="00EF3714" w:rsidRDefault="00EF3714" w:rsidP="00EF3714">
            <w:pPr>
              <w:spacing w:after="0" w:line="240" w:lineRule="auto"/>
              <w:rPr>
                <w:color w:val="000000"/>
              </w:rPr>
            </w:pPr>
            <w:r w:rsidRPr="00EF3714">
              <w:rPr>
                <w:color w:val="000000"/>
              </w:rPr>
              <w:t>.83</w:t>
            </w:r>
          </w:p>
        </w:tc>
        <w:tc>
          <w:tcPr>
            <w:tcW w:w="963" w:type="dxa"/>
            <w:tcBorders>
              <w:top w:val="nil"/>
              <w:left w:val="nil"/>
              <w:bottom w:val="nil"/>
              <w:right w:val="nil"/>
            </w:tcBorders>
            <w:shd w:val="clear" w:color="auto" w:fill="auto"/>
            <w:noWrap/>
            <w:vAlign w:val="center"/>
            <w:hideMark/>
          </w:tcPr>
          <w:p w14:paraId="6225DBEE"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61732402"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193945CF"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4537CAF3"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0871A153" w14:textId="77777777" w:rsidR="00EF3714" w:rsidRPr="00EF3714" w:rsidRDefault="00EF3714" w:rsidP="00EF3714">
            <w:pPr>
              <w:spacing w:after="0" w:line="240" w:lineRule="auto"/>
              <w:rPr>
                <w:color w:val="000000"/>
              </w:rPr>
            </w:pPr>
            <w:r w:rsidRPr="00EF3714">
              <w:rPr>
                <w:color w:val="000000"/>
              </w:rPr>
              <w:t>.37</w:t>
            </w:r>
          </w:p>
        </w:tc>
        <w:tc>
          <w:tcPr>
            <w:tcW w:w="963" w:type="dxa"/>
            <w:tcBorders>
              <w:top w:val="nil"/>
              <w:left w:val="nil"/>
              <w:bottom w:val="nil"/>
              <w:right w:val="nil"/>
            </w:tcBorders>
            <w:shd w:val="clear" w:color="auto" w:fill="auto"/>
            <w:noWrap/>
            <w:vAlign w:val="center"/>
            <w:hideMark/>
          </w:tcPr>
          <w:p w14:paraId="0A46A6DA"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537BA76D" w14:textId="77777777" w:rsidR="00EF3714" w:rsidRPr="00EF3714" w:rsidRDefault="00EF3714" w:rsidP="00EF3714">
            <w:pPr>
              <w:spacing w:after="0" w:line="240" w:lineRule="auto"/>
              <w:rPr>
                <w:color w:val="000000"/>
              </w:rPr>
            </w:pPr>
            <w:r w:rsidRPr="00EF3714">
              <w:rPr>
                <w:color w:val="000000"/>
              </w:rPr>
              <w:t>.71</w:t>
            </w:r>
          </w:p>
        </w:tc>
        <w:tc>
          <w:tcPr>
            <w:tcW w:w="963" w:type="dxa"/>
            <w:tcBorders>
              <w:top w:val="nil"/>
              <w:left w:val="nil"/>
              <w:bottom w:val="nil"/>
              <w:right w:val="nil"/>
            </w:tcBorders>
            <w:shd w:val="clear" w:color="auto" w:fill="auto"/>
            <w:noWrap/>
            <w:vAlign w:val="center"/>
            <w:hideMark/>
          </w:tcPr>
          <w:p w14:paraId="49D2DD35" w14:textId="77777777" w:rsidR="00EF3714" w:rsidRPr="00EF3714" w:rsidRDefault="00EF3714" w:rsidP="00EF3714">
            <w:pPr>
              <w:spacing w:after="0" w:line="240" w:lineRule="auto"/>
              <w:rPr>
                <w:color w:val="000000"/>
              </w:rPr>
            </w:pPr>
            <w:r w:rsidRPr="00EF3714">
              <w:rPr>
                <w:color w:val="000000"/>
              </w:rPr>
              <w:t>.48</w:t>
            </w:r>
          </w:p>
        </w:tc>
        <w:tc>
          <w:tcPr>
            <w:tcW w:w="1257" w:type="dxa"/>
            <w:tcBorders>
              <w:top w:val="nil"/>
              <w:left w:val="nil"/>
              <w:bottom w:val="nil"/>
              <w:right w:val="nil"/>
            </w:tcBorders>
            <w:shd w:val="clear" w:color="auto" w:fill="auto"/>
            <w:noWrap/>
            <w:vAlign w:val="center"/>
            <w:hideMark/>
          </w:tcPr>
          <w:p w14:paraId="397D2793" w14:textId="77777777" w:rsidR="00EF3714" w:rsidRPr="00EF3714" w:rsidRDefault="00EF3714" w:rsidP="00EF3714">
            <w:pPr>
              <w:spacing w:after="0" w:line="240" w:lineRule="auto"/>
              <w:rPr>
                <w:color w:val="000000"/>
              </w:rPr>
            </w:pPr>
            <w:r w:rsidRPr="00EF3714">
              <w:rPr>
                <w:color w:val="000000"/>
              </w:rPr>
              <w:t>.49</w:t>
            </w:r>
          </w:p>
        </w:tc>
      </w:tr>
      <w:tr w:rsidR="00EF3714" w:rsidRPr="00EF3714" w14:paraId="148A661F" w14:textId="77777777" w:rsidTr="00EF3714">
        <w:trPr>
          <w:trHeight w:val="315"/>
        </w:trPr>
        <w:tc>
          <w:tcPr>
            <w:tcW w:w="1650" w:type="dxa"/>
            <w:tcBorders>
              <w:top w:val="nil"/>
              <w:left w:val="nil"/>
              <w:bottom w:val="nil"/>
              <w:right w:val="nil"/>
            </w:tcBorders>
            <w:shd w:val="clear" w:color="auto" w:fill="auto"/>
            <w:noWrap/>
            <w:vAlign w:val="center"/>
            <w:hideMark/>
          </w:tcPr>
          <w:p w14:paraId="464A974A" w14:textId="77777777" w:rsidR="00EF3714" w:rsidRPr="00EF3714" w:rsidRDefault="00EF3714" w:rsidP="00EF3714">
            <w:pPr>
              <w:spacing w:after="0" w:line="240" w:lineRule="auto"/>
              <w:jc w:val="left"/>
              <w:rPr>
                <w:color w:val="000000"/>
              </w:rPr>
            </w:pPr>
            <w:r w:rsidRPr="00EF3714">
              <w:rPr>
                <w:color w:val="000000"/>
              </w:rPr>
              <w:t>Brazil</w:t>
            </w:r>
          </w:p>
        </w:tc>
        <w:tc>
          <w:tcPr>
            <w:tcW w:w="963" w:type="dxa"/>
            <w:tcBorders>
              <w:top w:val="nil"/>
              <w:left w:val="nil"/>
              <w:bottom w:val="nil"/>
              <w:right w:val="nil"/>
            </w:tcBorders>
            <w:shd w:val="clear" w:color="auto" w:fill="auto"/>
            <w:noWrap/>
            <w:vAlign w:val="center"/>
            <w:hideMark/>
          </w:tcPr>
          <w:p w14:paraId="369AD4CA"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6CE21A3A"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391522E6" w14:textId="77777777" w:rsidR="00EF3714" w:rsidRPr="00EF3714" w:rsidRDefault="00EF3714" w:rsidP="00EF3714">
            <w:pPr>
              <w:spacing w:after="0" w:line="240" w:lineRule="auto"/>
              <w:rPr>
                <w:color w:val="000000"/>
              </w:rPr>
            </w:pPr>
            <w:r w:rsidRPr="00EF3714">
              <w:rPr>
                <w:color w:val="000000"/>
              </w:rPr>
              <w:t>.49</w:t>
            </w:r>
          </w:p>
        </w:tc>
        <w:tc>
          <w:tcPr>
            <w:tcW w:w="963" w:type="dxa"/>
            <w:tcBorders>
              <w:top w:val="nil"/>
              <w:left w:val="nil"/>
              <w:bottom w:val="nil"/>
              <w:right w:val="nil"/>
            </w:tcBorders>
            <w:shd w:val="clear" w:color="auto" w:fill="auto"/>
            <w:noWrap/>
            <w:vAlign w:val="center"/>
            <w:hideMark/>
          </w:tcPr>
          <w:p w14:paraId="7AE8A6E5" w14:textId="77777777" w:rsidR="00EF3714" w:rsidRPr="00EF3714" w:rsidRDefault="00EF3714" w:rsidP="00EF3714">
            <w:pPr>
              <w:spacing w:after="0" w:line="240" w:lineRule="auto"/>
              <w:rPr>
                <w:color w:val="000000"/>
              </w:rPr>
            </w:pPr>
            <w:r w:rsidRPr="00EF3714">
              <w:rPr>
                <w:color w:val="000000"/>
              </w:rPr>
              <w:t>.26</w:t>
            </w:r>
          </w:p>
        </w:tc>
        <w:tc>
          <w:tcPr>
            <w:tcW w:w="963" w:type="dxa"/>
            <w:tcBorders>
              <w:top w:val="nil"/>
              <w:left w:val="nil"/>
              <w:bottom w:val="nil"/>
              <w:right w:val="nil"/>
            </w:tcBorders>
            <w:shd w:val="clear" w:color="auto" w:fill="auto"/>
            <w:noWrap/>
            <w:vAlign w:val="center"/>
            <w:hideMark/>
          </w:tcPr>
          <w:p w14:paraId="4A579B1F"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nil"/>
              <w:right w:val="nil"/>
            </w:tcBorders>
            <w:shd w:val="clear" w:color="auto" w:fill="auto"/>
            <w:noWrap/>
            <w:vAlign w:val="center"/>
            <w:hideMark/>
          </w:tcPr>
          <w:p w14:paraId="1DE6DEE3"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3D017026" w14:textId="77777777" w:rsidR="00EF3714" w:rsidRPr="00EF3714" w:rsidRDefault="00EF3714" w:rsidP="00EF3714">
            <w:pPr>
              <w:spacing w:after="0" w:line="240" w:lineRule="auto"/>
              <w:rPr>
                <w:color w:val="000000"/>
              </w:rPr>
            </w:pPr>
            <w:r w:rsidRPr="00EF3714">
              <w:rPr>
                <w:color w:val="000000"/>
              </w:rPr>
              <w:t>.63</w:t>
            </w:r>
          </w:p>
        </w:tc>
        <w:tc>
          <w:tcPr>
            <w:tcW w:w="963" w:type="dxa"/>
            <w:tcBorders>
              <w:top w:val="nil"/>
              <w:left w:val="nil"/>
              <w:bottom w:val="nil"/>
              <w:right w:val="nil"/>
            </w:tcBorders>
            <w:shd w:val="clear" w:color="auto" w:fill="auto"/>
            <w:noWrap/>
            <w:vAlign w:val="center"/>
            <w:hideMark/>
          </w:tcPr>
          <w:p w14:paraId="7B3838CB" w14:textId="77777777" w:rsidR="00EF3714" w:rsidRPr="00EF3714" w:rsidRDefault="00EF3714" w:rsidP="00EF3714">
            <w:pPr>
              <w:spacing w:after="0" w:line="240" w:lineRule="auto"/>
              <w:rPr>
                <w:color w:val="000000"/>
              </w:rPr>
            </w:pPr>
            <w:r w:rsidRPr="00EF3714">
              <w:rPr>
                <w:color w:val="000000"/>
              </w:rPr>
              <w:t>.45</w:t>
            </w:r>
          </w:p>
        </w:tc>
        <w:tc>
          <w:tcPr>
            <w:tcW w:w="963" w:type="dxa"/>
            <w:tcBorders>
              <w:top w:val="nil"/>
              <w:left w:val="nil"/>
              <w:bottom w:val="nil"/>
              <w:right w:val="nil"/>
            </w:tcBorders>
            <w:shd w:val="clear" w:color="auto" w:fill="auto"/>
            <w:noWrap/>
            <w:vAlign w:val="center"/>
            <w:hideMark/>
          </w:tcPr>
          <w:p w14:paraId="36E7BF87" w14:textId="77777777" w:rsidR="00EF3714" w:rsidRPr="00EF3714" w:rsidRDefault="00EF3714" w:rsidP="00EF3714">
            <w:pPr>
              <w:spacing w:after="0" w:line="240" w:lineRule="auto"/>
              <w:rPr>
                <w:color w:val="000000"/>
              </w:rPr>
            </w:pPr>
            <w:r w:rsidRPr="00EF3714">
              <w:rPr>
                <w:color w:val="000000"/>
              </w:rPr>
              <w:t>.40</w:t>
            </w:r>
          </w:p>
        </w:tc>
        <w:tc>
          <w:tcPr>
            <w:tcW w:w="1257" w:type="dxa"/>
            <w:tcBorders>
              <w:top w:val="nil"/>
              <w:left w:val="nil"/>
              <w:bottom w:val="nil"/>
              <w:right w:val="nil"/>
            </w:tcBorders>
            <w:shd w:val="clear" w:color="auto" w:fill="auto"/>
            <w:noWrap/>
            <w:vAlign w:val="center"/>
            <w:hideMark/>
          </w:tcPr>
          <w:p w14:paraId="73AB7A94"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42865EA1" w14:textId="77777777" w:rsidTr="00EF3714">
        <w:trPr>
          <w:trHeight w:val="315"/>
        </w:trPr>
        <w:tc>
          <w:tcPr>
            <w:tcW w:w="1650" w:type="dxa"/>
            <w:tcBorders>
              <w:top w:val="nil"/>
              <w:left w:val="nil"/>
              <w:bottom w:val="nil"/>
              <w:right w:val="nil"/>
            </w:tcBorders>
            <w:shd w:val="clear" w:color="auto" w:fill="auto"/>
            <w:noWrap/>
            <w:vAlign w:val="center"/>
            <w:hideMark/>
          </w:tcPr>
          <w:p w14:paraId="1C7C6B89" w14:textId="77777777" w:rsidR="00EF3714" w:rsidRPr="00EF3714" w:rsidRDefault="00EF3714" w:rsidP="00EF3714">
            <w:pPr>
              <w:spacing w:after="0" w:line="240" w:lineRule="auto"/>
              <w:jc w:val="left"/>
              <w:rPr>
                <w:color w:val="000000"/>
              </w:rPr>
            </w:pPr>
            <w:r w:rsidRPr="00EF3714">
              <w:rPr>
                <w:color w:val="000000"/>
              </w:rPr>
              <w:t>Bulgaria</w:t>
            </w:r>
          </w:p>
        </w:tc>
        <w:tc>
          <w:tcPr>
            <w:tcW w:w="963" w:type="dxa"/>
            <w:tcBorders>
              <w:top w:val="nil"/>
              <w:left w:val="nil"/>
              <w:bottom w:val="nil"/>
              <w:right w:val="nil"/>
            </w:tcBorders>
            <w:shd w:val="clear" w:color="auto" w:fill="auto"/>
            <w:noWrap/>
            <w:vAlign w:val="center"/>
            <w:hideMark/>
          </w:tcPr>
          <w:p w14:paraId="6C362A0E"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74F83945" w14:textId="77777777" w:rsidR="00EF3714" w:rsidRPr="00EF3714" w:rsidRDefault="00EF3714" w:rsidP="00EF3714">
            <w:pPr>
              <w:spacing w:after="0" w:line="240" w:lineRule="auto"/>
              <w:rPr>
                <w:color w:val="000000"/>
              </w:rPr>
            </w:pPr>
            <w:r w:rsidRPr="00EF3714">
              <w:rPr>
                <w:color w:val="000000"/>
              </w:rPr>
              <w:t>.63</w:t>
            </w:r>
          </w:p>
        </w:tc>
        <w:tc>
          <w:tcPr>
            <w:tcW w:w="963" w:type="dxa"/>
            <w:tcBorders>
              <w:top w:val="nil"/>
              <w:left w:val="nil"/>
              <w:bottom w:val="nil"/>
              <w:right w:val="nil"/>
            </w:tcBorders>
            <w:shd w:val="clear" w:color="auto" w:fill="auto"/>
            <w:noWrap/>
            <w:vAlign w:val="center"/>
            <w:hideMark/>
          </w:tcPr>
          <w:p w14:paraId="71B9F257"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0592F190"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7149E1D3"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3A69448D"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7377BA73"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5338B6D3"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41CAAFF8" w14:textId="77777777" w:rsidR="00EF3714" w:rsidRPr="00EF3714" w:rsidRDefault="00EF3714" w:rsidP="00EF3714">
            <w:pPr>
              <w:spacing w:after="0" w:line="240" w:lineRule="auto"/>
              <w:rPr>
                <w:color w:val="000000"/>
              </w:rPr>
            </w:pPr>
            <w:r w:rsidRPr="00EF3714">
              <w:rPr>
                <w:color w:val="000000"/>
              </w:rPr>
              <w:t>.49</w:t>
            </w:r>
          </w:p>
        </w:tc>
        <w:tc>
          <w:tcPr>
            <w:tcW w:w="1257" w:type="dxa"/>
            <w:tcBorders>
              <w:top w:val="nil"/>
              <w:left w:val="nil"/>
              <w:bottom w:val="nil"/>
              <w:right w:val="nil"/>
            </w:tcBorders>
            <w:shd w:val="clear" w:color="auto" w:fill="auto"/>
            <w:noWrap/>
            <w:vAlign w:val="center"/>
            <w:hideMark/>
          </w:tcPr>
          <w:p w14:paraId="17CD857A" w14:textId="77777777" w:rsidR="00EF3714" w:rsidRPr="00EF3714" w:rsidRDefault="00EF3714" w:rsidP="00EF3714">
            <w:pPr>
              <w:spacing w:after="0" w:line="240" w:lineRule="auto"/>
              <w:rPr>
                <w:color w:val="000000"/>
              </w:rPr>
            </w:pPr>
            <w:r w:rsidRPr="00EF3714">
              <w:rPr>
                <w:color w:val="000000"/>
              </w:rPr>
              <w:t>.54</w:t>
            </w:r>
          </w:p>
        </w:tc>
      </w:tr>
      <w:tr w:rsidR="00EF3714" w:rsidRPr="00EF3714" w14:paraId="50CF4445" w14:textId="77777777" w:rsidTr="00EF3714">
        <w:trPr>
          <w:trHeight w:val="315"/>
        </w:trPr>
        <w:tc>
          <w:tcPr>
            <w:tcW w:w="1650" w:type="dxa"/>
            <w:tcBorders>
              <w:top w:val="nil"/>
              <w:left w:val="nil"/>
              <w:bottom w:val="nil"/>
              <w:right w:val="nil"/>
            </w:tcBorders>
            <w:shd w:val="clear" w:color="auto" w:fill="auto"/>
            <w:noWrap/>
            <w:vAlign w:val="center"/>
            <w:hideMark/>
          </w:tcPr>
          <w:p w14:paraId="37E92101" w14:textId="77777777" w:rsidR="00EF3714" w:rsidRPr="00EF3714" w:rsidRDefault="00EF3714" w:rsidP="00EF3714">
            <w:pPr>
              <w:spacing w:after="0" w:line="240" w:lineRule="auto"/>
              <w:jc w:val="left"/>
              <w:rPr>
                <w:color w:val="000000"/>
              </w:rPr>
            </w:pPr>
            <w:r w:rsidRPr="00EF3714">
              <w:rPr>
                <w:color w:val="000000"/>
              </w:rPr>
              <w:t>Canada</w:t>
            </w:r>
          </w:p>
        </w:tc>
        <w:tc>
          <w:tcPr>
            <w:tcW w:w="963" w:type="dxa"/>
            <w:tcBorders>
              <w:top w:val="nil"/>
              <w:left w:val="nil"/>
              <w:bottom w:val="nil"/>
              <w:right w:val="nil"/>
            </w:tcBorders>
            <w:shd w:val="clear" w:color="auto" w:fill="auto"/>
            <w:noWrap/>
            <w:vAlign w:val="center"/>
            <w:hideMark/>
          </w:tcPr>
          <w:p w14:paraId="05A3E707"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7BE2ABD7" w14:textId="77777777" w:rsidR="00EF3714" w:rsidRPr="00EF3714" w:rsidRDefault="00EF3714" w:rsidP="00EF3714">
            <w:pPr>
              <w:spacing w:after="0" w:line="240" w:lineRule="auto"/>
              <w:rPr>
                <w:color w:val="000000"/>
              </w:rPr>
            </w:pPr>
            <w:r w:rsidRPr="00EF3714">
              <w:rPr>
                <w:color w:val="000000"/>
              </w:rPr>
              <w:t>.67</w:t>
            </w:r>
          </w:p>
        </w:tc>
        <w:tc>
          <w:tcPr>
            <w:tcW w:w="963" w:type="dxa"/>
            <w:tcBorders>
              <w:top w:val="nil"/>
              <w:left w:val="nil"/>
              <w:bottom w:val="nil"/>
              <w:right w:val="nil"/>
            </w:tcBorders>
            <w:shd w:val="clear" w:color="auto" w:fill="auto"/>
            <w:noWrap/>
            <w:vAlign w:val="center"/>
            <w:hideMark/>
          </w:tcPr>
          <w:p w14:paraId="41E74F11"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61D111AC"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2C9FCCCD" w14:textId="77777777" w:rsidR="00EF3714" w:rsidRPr="00EF3714" w:rsidRDefault="00EF3714" w:rsidP="00EF3714">
            <w:pPr>
              <w:spacing w:after="0" w:line="240" w:lineRule="auto"/>
              <w:rPr>
                <w:color w:val="000000"/>
              </w:rPr>
            </w:pPr>
            <w:r w:rsidRPr="00EF3714">
              <w:rPr>
                <w:color w:val="000000"/>
              </w:rPr>
              <w:t>.45</w:t>
            </w:r>
          </w:p>
        </w:tc>
        <w:tc>
          <w:tcPr>
            <w:tcW w:w="963" w:type="dxa"/>
            <w:tcBorders>
              <w:top w:val="nil"/>
              <w:left w:val="nil"/>
              <w:bottom w:val="nil"/>
              <w:right w:val="nil"/>
            </w:tcBorders>
            <w:shd w:val="clear" w:color="auto" w:fill="auto"/>
            <w:noWrap/>
            <w:vAlign w:val="center"/>
            <w:hideMark/>
          </w:tcPr>
          <w:p w14:paraId="09809BBC"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25E324CF" w14:textId="77777777" w:rsidR="00EF3714" w:rsidRPr="00EF3714" w:rsidRDefault="00EF3714" w:rsidP="00EF3714">
            <w:pPr>
              <w:spacing w:after="0" w:line="240" w:lineRule="auto"/>
              <w:rPr>
                <w:color w:val="000000"/>
              </w:rPr>
            </w:pPr>
            <w:r w:rsidRPr="00EF3714">
              <w:rPr>
                <w:color w:val="000000"/>
              </w:rPr>
              <w:t>.57</w:t>
            </w:r>
          </w:p>
        </w:tc>
        <w:tc>
          <w:tcPr>
            <w:tcW w:w="963" w:type="dxa"/>
            <w:tcBorders>
              <w:top w:val="nil"/>
              <w:left w:val="nil"/>
              <w:bottom w:val="nil"/>
              <w:right w:val="nil"/>
            </w:tcBorders>
            <w:shd w:val="clear" w:color="auto" w:fill="auto"/>
            <w:noWrap/>
            <w:vAlign w:val="center"/>
            <w:hideMark/>
          </w:tcPr>
          <w:p w14:paraId="1607E4CE"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47E170E0" w14:textId="77777777" w:rsidR="00EF3714" w:rsidRPr="00EF3714" w:rsidRDefault="00EF3714" w:rsidP="00EF3714">
            <w:pPr>
              <w:spacing w:after="0" w:line="240" w:lineRule="auto"/>
              <w:rPr>
                <w:color w:val="000000"/>
              </w:rPr>
            </w:pPr>
            <w:r w:rsidRPr="00EF3714">
              <w:rPr>
                <w:color w:val="000000"/>
              </w:rPr>
              <w:t>.82</w:t>
            </w:r>
          </w:p>
        </w:tc>
        <w:tc>
          <w:tcPr>
            <w:tcW w:w="1257" w:type="dxa"/>
            <w:tcBorders>
              <w:top w:val="nil"/>
              <w:left w:val="nil"/>
              <w:bottom w:val="nil"/>
              <w:right w:val="nil"/>
            </w:tcBorders>
            <w:shd w:val="clear" w:color="auto" w:fill="auto"/>
            <w:noWrap/>
            <w:vAlign w:val="center"/>
            <w:hideMark/>
          </w:tcPr>
          <w:p w14:paraId="2EB42A80"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4CC10A4F" w14:textId="77777777" w:rsidTr="00EF3714">
        <w:trPr>
          <w:trHeight w:val="315"/>
        </w:trPr>
        <w:tc>
          <w:tcPr>
            <w:tcW w:w="1650" w:type="dxa"/>
            <w:tcBorders>
              <w:top w:val="nil"/>
              <w:left w:val="nil"/>
              <w:bottom w:val="nil"/>
              <w:right w:val="nil"/>
            </w:tcBorders>
            <w:shd w:val="clear" w:color="auto" w:fill="auto"/>
            <w:noWrap/>
            <w:vAlign w:val="center"/>
            <w:hideMark/>
          </w:tcPr>
          <w:p w14:paraId="3A7AE7C1" w14:textId="77777777" w:rsidR="00EF3714" w:rsidRPr="00EF3714" w:rsidRDefault="00EF3714" w:rsidP="00EF3714">
            <w:pPr>
              <w:spacing w:after="0" w:line="240" w:lineRule="auto"/>
              <w:jc w:val="left"/>
              <w:rPr>
                <w:color w:val="000000"/>
              </w:rPr>
            </w:pPr>
            <w:r w:rsidRPr="00EF3714">
              <w:rPr>
                <w:color w:val="000000"/>
              </w:rPr>
              <w:t>Chile</w:t>
            </w:r>
          </w:p>
        </w:tc>
        <w:tc>
          <w:tcPr>
            <w:tcW w:w="963" w:type="dxa"/>
            <w:tcBorders>
              <w:top w:val="nil"/>
              <w:left w:val="nil"/>
              <w:bottom w:val="nil"/>
              <w:right w:val="nil"/>
            </w:tcBorders>
            <w:shd w:val="clear" w:color="auto" w:fill="auto"/>
            <w:noWrap/>
            <w:vAlign w:val="center"/>
            <w:hideMark/>
          </w:tcPr>
          <w:p w14:paraId="1819A50B"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2ADD46E0"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05F4DBD7"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1DA28021"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7E1A2E3A"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4D6C68C5" w14:textId="77777777" w:rsidR="00EF3714" w:rsidRPr="00EF3714" w:rsidRDefault="00EF3714" w:rsidP="00EF3714">
            <w:pPr>
              <w:spacing w:after="0" w:line="240" w:lineRule="auto"/>
              <w:rPr>
                <w:color w:val="000000"/>
              </w:rPr>
            </w:pPr>
            <w:r w:rsidRPr="00EF3714">
              <w:rPr>
                <w:color w:val="000000"/>
              </w:rPr>
              <w:t>.23</w:t>
            </w:r>
          </w:p>
        </w:tc>
        <w:tc>
          <w:tcPr>
            <w:tcW w:w="963" w:type="dxa"/>
            <w:tcBorders>
              <w:top w:val="nil"/>
              <w:left w:val="nil"/>
              <w:bottom w:val="nil"/>
              <w:right w:val="nil"/>
            </w:tcBorders>
            <w:shd w:val="clear" w:color="auto" w:fill="auto"/>
            <w:noWrap/>
            <w:vAlign w:val="center"/>
            <w:hideMark/>
          </w:tcPr>
          <w:p w14:paraId="52FC3797" w14:textId="77777777" w:rsidR="00EF3714" w:rsidRPr="00EF3714" w:rsidRDefault="00EF3714" w:rsidP="00EF3714">
            <w:pPr>
              <w:spacing w:after="0" w:line="240" w:lineRule="auto"/>
              <w:rPr>
                <w:color w:val="000000"/>
              </w:rPr>
            </w:pPr>
            <w:r w:rsidRPr="00EF3714">
              <w:rPr>
                <w:color w:val="000000"/>
              </w:rPr>
              <w:t>.69</w:t>
            </w:r>
          </w:p>
        </w:tc>
        <w:tc>
          <w:tcPr>
            <w:tcW w:w="963" w:type="dxa"/>
            <w:tcBorders>
              <w:top w:val="nil"/>
              <w:left w:val="nil"/>
              <w:bottom w:val="nil"/>
              <w:right w:val="nil"/>
            </w:tcBorders>
            <w:shd w:val="clear" w:color="auto" w:fill="auto"/>
            <w:noWrap/>
            <w:vAlign w:val="center"/>
            <w:hideMark/>
          </w:tcPr>
          <w:p w14:paraId="30ED7685"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20E89DEA" w14:textId="77777777" w:rsidR="00EF3714" w:rsidRPr="00EF3714" w:rsidRDefault="00EF3714" w:rsidP="00EF3714">
            <w:pPr>
              <w:spacing w:after="0" w:line="240" w:lineRule="auto"/>
              <w:rPr>
                <w:color w:val="000000"/>
              </w:rPr>
            </w:pPr>
            <w:r w:rsidRPr="00EF3714">
              <w:rPr>
                <w:color w:val="000000"/>
              </w:rPr>
              <w:t>.53</w:t>
            </w:r>
          </w:p>
        </w:tc>
        <w:tc>
          <w:tcPr>
            <w:tcW w:w="1257" w:type="dxa"/>
            <w:tcBorders>
              <w:top w:val="nil"/>
              <w:left w:val="nil"/>
              <w:bottom w:val="nil"/>
              <w:right w:val="nil"/>
            </w:tcBorders>
            <w:shd w:val="clear" w:color="auto" w:fill="auto"/>
            <w:noWrap/>
            <w:vAlign w:val="center"/>
            <w:hideMark/>
          </w:tcPr>
          <w:p w14:paraId="16FEEC6F" w14:textId="77777777" w:rsidR="00EF3714" w:rsidRPr="00EF3714" w:rsidRDefault="00EF3714" w:rsidP="00EF3714">
            <w:pPr>
              <w:spacing w:after="0" w:line="240" w:lineRule="auto"/>
              <w:rPr>
                <w:color w:val="000000"/>
              </w:rPr>
            </w:pPr>
            <w:r w:rsidRPr="00EF3714">
              <w:rPr>
                <w:color w:val="000000"/>
              </w:rPr>
              <w:t>.50</w:t>
            </w:r>
          </w:p>
        </w:tc>
      </w:tr>
      <w:tr w:rsidR="00EF3714" w:rsidRPr="00EF3714" w14:paraId="4A90D110" w14:textId="77777777" w:rsidTr="00EF3714">
        <w:trPr>
          <w:trHeight w:val="315"/>
        </w:trPr>
        <w:tc>
          <w:tcPr>
            <w:tcW w:w="1650" w:type="dxa"/>
            <w:tcBorders>
              <w:top w:val="nil"/>
              <w:left w:val="nil"/>
              <w:bottom w:val="nil"/>
              <w:right w:val="nil"/>
            </w:tcBorders>
            <w:shd w:val="clear" w:color="auto" w:fill="auto"/>
            <w:noWrap/>
            <w:vAlign w:val="center"/>
            <w:hideMark/>
          </w:tcPr>
          <w:p w14:paraId="24B54414" w14:textId="77777777" w:rsidR="00EF3714" w:rsidRPr="00EF3714" w:rsidRDefault="00EF3714" w:rsidP="00EF3714">
            <w:pPr>
              <w:spacing w:after="0" w:line="240" w:lineRule="auto"/>
              <w:jc w:val="left"/>
              <w:rPr>
                <w:color w:val="000000"/>
              </w:rPr>
            </w:pPr>
            <w:r w:rsidRPr="00EF3714">
              <w:rPr>
                <w:color w:val="000000"/>
              </w:rPr>
              <w:t>China</w:t>
            </w:r>
          </w:p>
        </w:tc>
        <w:tc>
          <w:tcPr>
            <w:tcW w:w="963" w:type="dxa"/>
            <w:tcBorders>
              <w:top w:val="nil"/>
              <w:left w:val="nil"/>
              <w:bottom w:val="nil"/>
              <w:right w:val="nil"/>
            </w:tcBorders>
            <w:shd w:val="clear" w:color="auto" w:fill="auto"/>
            <w:noWrap/>
            <w:vAlign w:val="center"/>
            <w:hideMark/>
          </w:tcPr>
          <w:p w14:paraId="590182C3"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2A026854"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3969312A"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138FD926"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108A45D3" w14:textId="77777777" w:rsidR="00EF3714" w:rsidRPr="00EF3714" w:rsidRDefault="00EF3714" w:rsidP="00EF3714">
            <w:pPr>
              <w:spacing w:after="0" w:line="240" w:lineRule="auto"/>
              <w:rPr>
                <w:color w:val="000000"/>
              </w:rPr>
            </w:pPr>
            <w:r w:rsidRPr="00EF3714">
              <w:rPr>
                <w:color w:val="000000"/>
              </w:rPr>
              <w:t>.34</w:t>
            </w:r>
          </w:p>
        </w:tc>
        <w:tc>
          <w:tcPr>
            <w:tcW w:w="963" w:type="dxa"/>
            <w:tcBorders>
              <w:top w:val="nil"/>
              <w:left w:val="nil"/>
              <w:bottom w:val="nil"/>
              <w:right w:val="nil"/>
            </w:tcBorders>
            <w:shd w:val="clear" w:color="auto" w:fill="auto"/>
            <w:noWrap/>
            <w:vAlign w:val="center"/>
            <w:hideMark/>
          </w:tcPr>
          <w:p w14:paraId="23A559EA"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19772A92" w14:textId="77777777" w:rsidR="00EF3714" w:rsidRPr="00EF3714" w:rsidRDefault="00EF3714" w:rsidP="00EF3714">
            <w:pPr>
              <w:spacing w:after="0" w:line="240" w:lineRule="auto"/>
              <w:rPr>
                <w:color w:val="000000"/>
              </w:rPr>
            </w:pPr>
            <w:r w:rsidRPr="00EF3714">
              <w:rPr>
                <w:color w:val="000000"/>
              </w:rPr>
              <w:t>.55</w:t>
            </w:r>
          </w:p>
        </w:tc>
        <w:tc>
          <w:tcPr>
            <w:tcW w:w="963" w:type="dxa"/>
            <w:tcBorders>
              <w:top w:val="nil"/>
              <w:left w:val="nil"/>
              <w:bottom w:val="nil"/>
              <w:right w:val="nil"/>
            </w:tcBorders>
            <w:shd w:val="clear" w:color="auto" w:fill="auto"/>
            <w:noWrap/>
            <w:vAlign w:val="center"/>
            <w:hideMark/>
          </w:tcPr>
          <w:p w14:paraId="0BA8DE3C"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68626A4D" w14:textId="77777777" w:rsidR="00EF3714" w:rsidRPr="00EF3714" w:rsidRDefault="00EF3714" w:rsidP="00EF3714">
            <w:pPr>
              <w:spacing w:after="0" w:line="240" w:lineRule="auto"/>
              <w:rPr>
                <w:color w:val="000000"/>
              </w:rPr>
            </w:pPr>
            <w:r w:rsidRPr="00EF3714">
              <w:rPr>
                <w:color w:val="000000"/>
              </w:rPr>
              <w:t>.69</w:t>
            </w:r>
          </w:p>
        </w:tc>
        <w:tc>
          <w:tcPr>
            <w:tcW w:w="1257" w:type="dxa"/>
            <w:tcBorders>
              <w:top w:val="nil"/>
              <w:left w:val="nil"/>
              <w:bottom w:val="nil"/>
              <w:right w:val="nil"/>
            </w:tcBorders>
            <w:shd w:val="clear" w:color="auto" w:fill="auto"/>
            <w:noWrap/>
            <w:vAlign w:val="center"/>
            <w:hideMark/>
          </w:tcPr>
          <w:p w14:paraId="22950941" w14:textId="77777777" w:rsidR="00EF3714" w:rsidRPr="00EF3714" w:rsidRDefault="00EF3714" w:rsidP="00EF3714">
            <w:pPr>
              <w:spacing w:after="0" w:line="240" w:lineRule="auto"/>
              <w:rPr>
                <w:color w:val="000000"/>
              </w:rPr>
            </w:pPr>
            <w:r w:rsidRPr="00EF3714">
              <w:rPr>
                <w:color w:val="000000"/>
              </w:rPr>
              <w:t>.49</w:t>
            </w:r>
          </w:p>
        </w:tc>
      </w:tr>
      <w:tr w:rsidR="00EF3714" w:rsidRPr="00EF3714" w14:paraId="081F20B7" w14:textId="77777777" w:rsidTr="00EF3714">
        <w:trPr>
          <w:trHeight w:val="315"/>
        </w:trPr>
        <w:tc>
          <w:tcPr>
            <w:tcW w:w="1650" w:type="dxa"/>
            <w:tcBorders>
              <w:top w:val="nil"/>
              <w:left w:val="nil"/>
              <w:bottom w:val="nil"/>
              <w:right w:val="nil"/>
            </w:tcBorders>
            <w:shd w:val="clear" w:color="auto" w:fill="auto"/>
            <w:noWrap/>
            <w:vAlign w:val="center"/>
            <w:hideMark/>
          </w:tcPr>
          <w:p w14:paraId="30B13379" w14:textId="77777777" w:rsidR="00EF3714" w:rsidRPr="00EF3714" w:rsidRDefault="00EF3714" w:rsidP="00EF3714">
            <w:pPr>
              <w:spacing w:after="0" w:line="240" w:lineRule="auto"/>
              <w:jc w:val="left"/>
              <w:rPr>
                <w:color w:val="000000"/>
              </w:rPr>
            </w:pPr>
            <w:r w:rsidRPr="00EF3714">
              <w:rPr>
                <w:color w:val="000000"/>
              </w:rPr>
              <w:t>Colombia</w:t>
            </w:r>
          </w:p>
        </w:tc>
        <w:tc>
          <w:tcPr>
            <w:tcW w:w="963" w:type="dxa"/>
            <w:tcBorders>
              <w:top w:val="nil"/>
              <w:left w:val="nil"/>
              <w:bottom w:val="nil"/>
              <w:right w:val="nil"/>
            </w:tcBorders>
            <w:shd w:val="clear" w:color="auto" w:fill="auto"/>
            <w:noWrap/>
            <w:vAlign w:val="center"/>
            <w:hideMark/>
          </w:tcPr>
          <w:p w14:paraId="19106893"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25888B0C"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024B1551"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157D829F"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0B08B81A"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688B799C"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49C55067" w14:textId="77777777" w:rsidR="00EF3714" w:rsidRPr="00EF3714" w:rsidRDefault="00EF3714" w:rsidP="00EF3714">
            <w:pPr>
              <w:spacing w:after="0" w:line="240" w:lineRule="auto"/>
              <w:rPr>
                <w:color w:val="000000"/>
              </w:rPr>
            </w:pPr>
            <w:r w:rsidRPr="00EF3714">
              <w:rPr>
                <w:color w:val="000000"/>
              </w:rPr>
              <w:t>.62</w:t>
            </w:r>
          </w:p>
        </w:tc>
        <w:tc>
          <w:tcPr>
            <w:tcW w:w="963" w:type="dxa"/>
            <w:tcBorders>
              <w:top w:val="nil"/>
              <w:left w:val="nil"/>
              <w:bottom w:val="nil"/>
              <w:right w:val="nil"/>
            </w:tcBorders>
            <w:shd w:val="clear" w:color="auto" w:fill="auto"/>
            <w:noWrap/>
            <w:vAlign w:val="center"/>
            <w:hideMark/>
          </w:tcPr>
          <w:p w14:paraId="31AA6D7D"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723727BA" w14:textId="77777777" w:rsidR="00EF3714" w:rsidRPr="00EF3714" w:rsidRDefault="00EF3714" w:rsidP="00EF3714">
            <w:pPr>
              <w:spacing w:after="0" w:line="240" w:lineRule="auto"/>
              <w:rPr>
                <w:color w:val="000000"/>
              </w:rPr>
            </w:pPr>
            <w:r w:rsidRPr="00EF3714">
              <w:rPr>
                <w:color w:val="000000"/>
              </w:rPr>
              <w:t>.47</w:t>
            </w:r>
          </w:p>
        </w:tc>
        <w:tc>
          <w:tcPr>
            <w:tcW w:w="1257" w:type="dxa"/>
            <w:tcBorders>
              <w:top w:val="nil"/>
              <w:left w:val="nil"/>
              <w:bottom w:val="nil"/>
              <w:right w:val="nil"/>
            </w:tcBorders>
            <w:shd w:val="clear" w:color="auto" w:fill="auto"/>
            <w:noWrap/>
            <w:vAlign w:val="center"/>
            <w:hideMark/>
          </w:tcPr>
          <w:p w14:paraId="48FC0A2C" w14:textId="77777777" w:rsidR="00EF3714" w:rsidRPr="00EF3714" w:rsidRDefault="00EF3714" w:rsidP="00EF3714">
            <w:pPr>
              <w:spacing w:after="0" w:line="240" w:lineRule="auto"/>
              <w:rPr>
                <w:color w:val="000000"/>
              </w:rPr>
            </w:pPr>
            <w:r w:rsidRPr="00EF3714">
              <w:rPr>
                <w:color w:val="000000"/>
              </w:rPr>
              <w:t>.50</w:t>
            </w:r>
          </w:p>
        </w:tc>
      </w:tr>
      <w:tr w:rsidR="00EF3714" w:rsidRPr="00EF3714" w14:paraId="33F9F485" w14:textId="77777777" w:rsidTr="00EF3714">
        <w:trPr>
          <w:trHeight w:val="315"/>
        </w:trPr>
        <w:tc>
          <w:tcPr>
            <w:tcW w:w="1650" w:type="dxa"/>
            <w:tcBorders>
              <w:top w:val="nil"/>
              <w:left w:val="nil"/>
              <w:bottom w:val="nil"/>
              <w:right w:val="nil"/>
            </w:tcBorders>
            <w:shd w:val="clear" w:color="auto" w:fill="auto"/>
            <w:noWrap/>
            <w:vAlign w:val="center"/>
            <w:hideMark/>
          </w:tcPr>
          <w:p w14:paraId="2D36C115" w14:textId="77777777" w:rsidR="00EF3714" w:rsidRPr="00EF3714" w:rsidRDefault="00EF3714" w:rsidP="00EF3714">
            <w:pPr>
              <w:spacing w:after="0" w:line="240" w:lineRule="auto"/>
              <w:jc w:val="left"/>
              <w:rPr>
                <w:color w:val="000000"/>
              </w:rPr>
            </w:pPr>
            <w:r w:rsidRPr="00EF3714">
              <w:rPr>
                <w:color w:val="000000"/>
              </w:rPr>
              <w:t>Croatia</w:t>
            </w:r>
          </w:p>
        </w:tc>
        <w:tc>
          <w:tcPr>
            <w:tcW w:w="963" w:type="dxa"/>
            <w:tcBorders>
              <w:top w:val="nil"/>
              <w:left w:val="nil"/>
              <w:bottom w:val="nil"/>
              <w:right w:val="nil"/>
            </w:tcBorders>
            <w:shd w:val="clear" w:color="auto" w:fill="auto"/>
            <w:noWrap/>
            <w:vAlign w:val="center"/>
            <w:hideMark/>
          </w:tcPr>
          <w:p w14:paraId="289A09BD"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38745999"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629E166D"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65CF3740"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5987826B" w14:textId="77777777" w:rsidR="00EF3714" w:rsidRPr="00EF3714" w:rsidRDefault="00EF3714" w:rsidP="00EF3714">
            <w:pPr>
              <w:spacing w:after="0" w:line="240" w:lineRule="auto"/>
              <w:rPr>
                <w:color w:val="000000"/>
              </w:rPr>
            </w:pPr>
            <w:r w:rsidRPr="00EF3714">
              <w:rPr>
                <w:color w:val="000000"/>
              </w:rPr>
              <w:t>.49</w:t>
            </w:r>
          </w:p>
        </w:tc>
        <w:tc>
          <w:tcPr>
            <w:tcW w:w="963" w:type="dxa"/>
            <w:tcBorders>
              <w:top w:val="nil"/>
              <w:left w:val="nil"/>
              <w:bottom w:val="nil"/>
              <w:right w:val="nil"/>
            </w:tcBorders>
            <w:shd w:val="clear" w:color="auto" w:fill="auto"/>
            <w:noWrap/>
            <w:vAlign w:val="center"/>
            <w:hideMark/>
          </w:tcPr>
          <w:p w14:paraId="3EA3197D"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1215A95A" w14:textId="77777777" w:rsidR="00EF3714" w:rsidRPr="00EF3714" w:rsidRDefault="00EF3714" w:rsidP="00EF3714">
            <w:pPr>
              <w:spacing w:after="0" w:line="240" w:lineRule="auto"/>
              <w:rPr>
                <w:color w:val="000000"/>
              </w:rPr>
            </w:pPr>
            <w:r w:rsidRPr="00EF3714">
              <w:rPr>
                <w:color w:val="000000"/>
              </w:rPr>
              <w:t>.57</w:t>
            </w:r>
          </w:p>
        </w:tc>
        <w:tc>
          <w:tcPr>
            <w:tcW w:w="963" w:type="dxa"/>
            <w:tcBorders>
              <w:top w:val="nil"/>
              <w:left w:val="nil"/>
              <w:bottom w:val="nil"/>
              <w:right w:val="nil"/>
            </w:tcBorders>
            <w:shd w:val="clear" w:color="auto" w:fill="auto"/>
            <w:noWrap/>
            <w:vAlign w:val="center"/>
            <w:hideMark/>
          </w:tcPr>
          <w:p w14:paraId="640EAC79"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21FB8270" w14:textId="77777777" w:rsidR="00EF3714" w:rsidRPr="00EF3714" w:rsidRDefault="00EF3714" w:rsidP="00EF3714">
            <w:pPr>
              <w:spacing w:after="0" w:line="240" w:lineRule="auto"/>
              <w:rPr>
                <w:color w:val="000000"/>
              </w:rPr>
            </w:pPr>
            <w:r w:rsidRPr="00EF3714">
              <w:rPr>
                <w:color w:val="000000"/>
              </w:rPr>
              <w:t>.70</w:t>
            </w:r>
          </w:p>
        </w:tc>
        <w:tc>
          <w:tcPr>
            <w:tcW w:w="1257" w:type="dxa"/>
            <w:tcBorders>
              <w:top w:val="nil"/>
              <w:left w:val="nil"/>
              <w:bottom w:val="nil"/>
              <w:right w:val="nil"/>
            </w:tcBorders>
            <w:shd w:val="clear" w:color="auto" w:fill="auto"/>
            <w:noWrap/>
            <w:vAlign w:val="center"/>
            <w:hideMark/>
          </w:tcPr>
          <w:p w14:paraId="48C7CC6B"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50BA98AE" w14:textId="77777777" w:rsidTr="00EF3714">
        <w:trPr>
          <w:trHeight w:val="315"/>
        </w:trPr>
        <w:tc>
          <w:tcPr>
            <w:tcW w:w="1650" w:type="dxa"/>
            <w:tcBorders>
              <w:top w:val="nil"/>
              <w:left w:val="nil"/>
              <w:bottom w:val="nil"/>
              <w:right w:val="nil"/>
            </w:tcBorders>
            <w:shd w:val="clear" w:color="auto" w:fill="auto"/>
            <w:noWrap/>
            <w:vAlign w:val="center"/>
            <w:hideMark/>
          </w:tcPr>
          <w:p w14:paraId="17266F61" w14:textId="77777777" w:rsidR="00EF3714" w:rsidRPr="00EF3714" w:rsidRDefault="00EF3714" w:rsidP="00EF3714">
            <w:pPr>
              <w:spacing w:after="0" w:line="240" w:lineRule="auto"/>
              <w:jc w:val="left"/>
              <w:rPr>
                <w:color w:val="000000"/>
              </w:rPr>
            </w:pPr>
            <w:r w:rsidRPr="00EF3714">
              <w:rPr>
                <w:color w:val="000000"/>
              </w:rPr>
              <w:t>Czech Republic</w:t>
            </w:r>
          </w:p>
        </w:tc>
        <w:tc>
          <w:tcPr>
            <w:tcW w:w="963" w:type="dxa"/>
            <w:tcBorders>
              <w:top w:val="nil"/>
              <w:left w:val="nil"/>
              <w:bottom w:val="nil"/>
              <w:right w:val="nil"/>
            </w:tcBorders>
            <w:shd w:val="clear" w:color="auto" w:fill="auto"/>
            <w:noWrap/>
            <w:vAlign w:val="center"/>
            <w:hideMark/>
          </w:tcPr>
          <w:p w14:paraId="388BA6A5"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6084C994" w14:textId="77777777" w:rsidR="00EF3714" w:rsidRPr="00EF3714" w:rsidRDefault="00EF3714" w:rsidP="00EF3714">
            <w:pPr>
              <w:spacing w:after="0" w:line="240" w:lineRule="auto"/>
              <w:rPr>
                <w:color w:val="000000"/>
              </w:rPr>
            </w:pPr>
            <w:r w:rsidRPr="00EF3714">
              <w:rPr>
                <w:color w:val="000000"/>
              </w:rPr>
              <w:t>.11</w:t>
            </w:r>
          </w:p>
        </w:tc>
        <w:tc>
          <w:tcPr>
            <w:tcW w:w="963" w:type="dxa"/>
            <w:tcBorders>
              <w:top w:val="nil"/>
              <w:left w:val="nil"/>
              <w:bottom w:val="nil"/>
              <w:right w:val="nil"/>
            </w:tcBorders>
            <w:shd w:val="clear" w:color="auto" w:fill="auto"/>
            <w:noWrap/>
            <w:vAlign w:val="center"/>
            <w:hideMark/>
          </w:tcPr>
          <w:p w14:paraId="61361119"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723AE038" w14:textId="77777777" w:rsidR="00EF3714" w:rsidRPr="00EF3714" w:rsidRDefault="00EF3714" w:rsidP="00EF3714">
            <w:pPr>
              <w:spacing w:after="0" w:line="240" w:lineRule="auto"/>
              <w:rPr>
                <w:color w:val="000000"/>
              </w:rPr>
            </w:pPr>
            <w:r w:rsidRPr="00EF3714">
              <w:rPr>
                <w:color w:val="000000"/>
              </w:rPr>
              <w:t>.16</w:t>
            </w:r>
          </w:p>
        </w:tc>
        <w:tc>
          <w:tcPr>
            <w:tcW w:w="963" w:type="dxa"/>
            <w:tcBorders>
              <w:top w:val="nil"/>
              <w:left w:val="nil"/>
              <w:bottom w:val="nil"/>
              <w:right w:val="nil"/>
            </w:tcBorders>
            <w:shd w:val="clear" w:color="auto" w:fill="auto"/>
            <w:noWrap/>
            <w:vAlign w:val="center"/>
            <w:hideMark/>
          </w:tcPr>
          <w:p w14:paraId="57B8B303"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nil"/>
              <w:right w:val="nil"/>
            </w:tcBorders>
            <w:shd w:val="clear" w:color="auto" w:fill="auto"/>
            <w:noWrap/>
            <w:vAlign w:val="center"/>
            <w:hideMark/>
          </w:tcPr>
          <w:p w14:paraId="63B85EDE"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331C5041" w14:textId="77777777" w:rsidR="00EF3714" w:rsidRPr="00EF3714" w:rsidRDefault="00EF3714" w:rsidP="00EF3714">
            <w:pPr>
              <w:spacing w:after="0" w:line="240" w:lineRule="auto"/>
              <w:rPr>
                <w:color w:val="000000"/>
              </w:rPr>
            </w:pPr>
            <w:r w:rsidRPr="00EF3714">
              <w:rPr>
                <w:color w:val="000000"/>
              </w:rPr>
              <w:t>.51</w:t>
            </w:r>
          </w:p>
        </w:tc>
        <w:tc>
          <w:tcPr>
            <w:tcW w:w="963" w:type="dxa"/>
            <w:tcBorders>
              <w:top w:val="nil"/>
              <w:left w:val="nil"/>
              <w:bottom w:val="nil"/>
              <w:right w:val="nil"/>
            </w:tcBorders>
            <w:shd w:val="clear" w:color="auto" w:fill="auto"/>
            <w:noWrap/>
            <w:vAlign w:val="center"/>
            <w:hideMark/>
          </w:tcPr>
          <w:p w14:paraId="603F8CC7"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01088CDB" w14:textId="77777777" w:rsidR="00EF3714" w:rsidRPr="00EF3714" w:rsidRDefault="00EF3714" w:rsidP="00EF3714">
            <w:pPr>
              <w:spacing w:after="0" w:line="240" w:lineRule="auto"/>
              <w:rPr>
                <w:color w:val="000000"/>
              </w:rPr>
            </w:pPr>
            <w:r w:rsidRPr="00EF3714">
              <w:rPr>
                <w:color w:val="000000"/>
              </w:rPr>
              <w:t>.73</w:t>
            </w:r>
          </w:p>
        </w:tc>
        <w:tc>
          <w:tcPr>
            <w:tcW w:w="1257" w:type="dxa"/>
            <w:tcBorders>
              <w:top w:val="nil"/>
              <w:left w:val="nil"/>
              <w:bottom w:val="nil"/>
              <w:right w:val="nil"/>
            </w:tcBorders>
            <w:shd w:val="clear" w:color="auto" w:fill="auto"/>
            <w:noWrap/>
            <w:vAlign w:val="center"/>
            <w:hideMark/>
          </w:tcPr>
          <w:p w14:paraId="401069E0"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251085D4" w14:textId="77777777" w:rsidTr="00EF3714">
        <w:trPr>
          <w:trHeight w:val="315"/>
        </w:trPr>
        <w:tc>
          <w:tcPr>
            <w:tcW w:w="1650" w:type="dxa"/>
            <w:tcBorders>
              <w:top w:val="nil"/>
              <w:left w:val="nil"/>
              <w:bottom w:val="nil"/>
              <w:right w:val="nil"/>
            </w:tcBorders>
            <w:shd w:val="clear" w:color="auto" w:fill="auto"/>
            <w:noWrap/>
            <w:vAlign w:val="center"/>
            <w:hideMark/>
          </w:tcPr>
          <w:p w14:paraId="21803C81" w14:textId="77777777" w:rsidR="00EF3714" w:rsidRPr="00EF3714" w:rsidRDefault="00EF3714" w:rsidP="00EF3714">
            <w:pPr>
              <w:spacing w:after="0" w:line="240" w:lineRule="auto"/>
              <w:jc w:val="left"/>
              <w:rPr>
                <w:color w:val="000000"/>
              </w:rPr>
            </w:pPr>
            <w:r w:rsidRPr="00EF3714">
              <w:rPr>
                <w:color w:val="000000"/>
              </w:rPr>
              <w:t>Denmark</w:t>
            </w:r>
          </w:p>
        </w:tc>
        <w:tc>
          <w:tcPr>
            <w:tcW w:w="963" w:type="dxa"/>
            <w:tcBorders>
              <w:top w:val="nil"/>
              <w:left w:val="nil"/>
              <w:bottom w:val="nil"/>
              <w:right w:val="nil"/>
            </w:tcBorders>
            <w:shd w:val="clear" w:color="auto" w:fill="auto"/>
            <w:noWrap/>
            <w:vAlign w:val="center"/>
            <w:hideMark/>
          </w:tcPr>
          <w:p w14:paraId="4F9DECEA"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7896B4DB"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48A52C52"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03A21BE3"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7D147B9F"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15D790C1" w14:textId="77777777" w:rsidR="00EF3714" w:rsidRPr="00EF3714" w:rsidRDefault="00EF3714" w:rsidP="00EF3714">
            <w:pPr>
              <w:spacing w:after="0" w:line="240" w:lineRule="auto"/>
              <w:rPr>
                <w:color w:val="000000"/>
              </w:rPr>
            </w:pPr>
            <w:r w:rsidRPr="00EF3714">
              <w:rPr>
                <w:color w:val="000000"/>
              </w:rPr>
              <w:t>.23</w:t>
            </w:r>
          </w:p>
        </w:tc>
        <w:tc>
          <w:tcPr>
            <w:tcW w:w="963" w:type="dxa"/>
            <w:tcBorders>
              <w:top w:val="nil"/>
              <w:left w:val="nil"/>
              <w:bottom w:val="nil"/>
              <w:right w:val="nil"/>
            </w:tcBorders>
            <w:shd w:val="clear" w:color="auto" w:fill="auto"/>
            <w:noWrap/>
            <w:vAlign w:val="center"/>
            <w:hideMark/>
          </w:tcPr>
          <w:p w14:paraId="09D8F7AF" w14:textId="77777777" w:rsidR="00EF3714" w:rsidRPr="00EF3714" w:rsidRDefault="00EF3714" w:rsidP="00EF3714">
            <w:pPr>
              <w:spacing w:after="0" w:line="240" w:lineRule="auto"/>
              <w:rPr>
                <w:color w:val="000000"/>
              </w:rPr>
            </w:pPr>
            <w:r w:rsidRPr="00EF3714">
              <w:rPr>
                <w:color w:val="000000"/>
              </w:rPr>
              <w:t>.82</w:t>
            </w:r>
          </w:p>
        </w:tc>
        <w:tc>
          <w:tcPr>
            <w:tcW w:w="963" w:type="dxa"/>
            <w:tcBorders>
              <w:top w:val="nil"/>
              <w:left w:val="nil"/>
              <w:bottom w:val="nil"/>
              <w:right w:val="nil"/>
            </w:tcBorders>
            <w:shd w:val="clear" w:color="auto" w:fill="auto"/>
            <w:noWrap/>
            <w:vAlign w:val="center"/>
            <w:hideMark/>
          </w:tcPr>
          <w:p w14:paraId="63A2B78F"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7468D19F" w14:textId="77777777" w:rsidR="00EF3714" w:rsidRPr="00EF3714" w:rsidRDefault="00EF3714" w:rsidP="00EF3714">
            <w:pPr>
              <w:spacing w:after="0" w:line="240" w:lineRule="auto"/>
              <w:rPr>
                <w:color w:val="000000"/>
              </w:rPr>
            </w:pPr>
            <w:r w:rsidRPr="00EF3714">
              <w:rPr>
                <w:color w:val="000000"/>
              </w:rPr>
              <w:t>.68</w:t>
            </w:r>
          </w:p>
        </w:tc>
        <w:tc>
          <w:tcPr>
            <w:tcW w:w="1257" w:type="dxa"/>
            <w:tcBorders>
              <w:top w:val="nil"/>
              <w:left w:val="nil"/>
              <w:bottom w:val="nil"/>
              <w:right w:val="nil"/>
            </w:tcBorders>
            <w:shd w:val="clear" w:color="auto" w:fill="auto"/>
            <w:noWrap/>
            <w:vAlign w:val="center"/>
            <w:hideMark/>
          </w:tcPr>
          <w:p w14:paraId="743EB772" w14:textId="77777777" w:rsidR="00EF3714" w:rsidRPr="00EF3714" w:rsidRDefault="00EF3714" w:rsidP="00EF3714">
            <w:pPr>
              <w:spacing w:after="0" w:line="240" w:lineRule="auto"/>
              <w:rPr>
                <w:color w:val="000000"/>
              </w:rPr>
            </w:pPr>
            <w:r w:rsidRPr="00EF3714">
              <w:rPr>
                <w:color w:val="000000"/>
              </w:rPr>
              <w:t>.49</w:t>
            </w:r>
          </w:p>
        </w:tc>
      </w:tr>
      <w:tr w:rsidR="00EF3714" w:rsidRPr="00EF3714" w14:paraId="70CE575B" w14:textId="77777777" w:rsidTr="00EF3714">
        <w:trPr>
          <w:trHeight w:val="315"/>
        </w:trPr>
        <w:tc>
          <w:tcPr>
            <w:tcW w:w="1650" w:type="dxa"/>
            <w:tcBorders>
              <w:top w:val="nil"/>
              <w:left w:val="nil"/>
              <w:bottom w:val="nil"/>
              <w:right w:val="nil"/>
            </w:tcBorders>
            <w:shd w:val="clear" w:color="auto" w:fill="auto"/>
            <w:noWrap/>
            <w:vAlign w:val="center"/>
            <w:hideMark/>
          </w:tcPr>
          <w:p w14:paraId="05EAE1C6" w14:textId="77777777" w:rsidR="00EF3714" w:rsidRPr="00EF3714" w:rsidRDefault="00EF3714" w:rsidP="00EF3714">
            <w:pPr>
              <w:spacing w:after="0" w:line="240" w:lineRule="auto"/>
              <w:jc w:val="left"/>
              <w:rPr>
                <w:color w:val="000000"/>
              </w:rPr>
            </w:pPr>
            <w:r w:rsidRPr="00EF3714">
              <w:rPr>
                <w:color w:val="000000"/>
              </w:rPr>
              <w:t>Estonia</w:t>
            </w:r>
          </w:p>
        </w:tc>
        <w:tc>
          <w:tcPr>
            <w:tcW w:w="963" w:type="dxa"/>
            <w:tcBorders>
              <w:top w:val="nil"/>
              <w:left w:val="nil"/>
              <w:bottom w:val="nil"/>
              <w:right w:val="nil"/>
            </w:tcBorders>
            <w:shd w:val="clear" w:color="auto" w:fill="auto"/>
            <w:noWrap/>
            <w:vAlign w:val="center"/>
            <w:hideMark/>
          </w:tcPr>
          <w:p w14:paraId="1EE40E8C"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2E0ECB61"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089D1CC3" w14:textId="77777777" w:rsidR="00EF3714" w:rsidRPr="00EF3714" w:rsidRDefault="00EF3714" w:rsidP="00EF3714">
            <w:pPr>
              <w:spacing w:after="0" w:line="240" w:lineRule="auto"/>
              <w:rPr>
                <w:color w:val="000000"/>
              </w:rPr>
            </w:pPr>
            <w:r w:rsidRPr="00EF3714">
              <w:rPr>
                <w:color w:val="000000"/>
              </w:rPr>
              <w:t>.45</w:t>
            </w:r>
          </w:p>
        </w:tc>
        <w:tc>
          <w:tcPr>
            <w:tcW w:w="963" w:type="dxa"/>
            <w:tcBorders>
              <w:top w:val="nil"/>
              <w:left w:val="nil"/>
              <w:bottom w:val="nil"/>
              <w:right w:val="nil"/>
            </w:tcBorders>
            <w:shd w:val="clear" w:color="auto" w:fill="auto"/>
            <w:noWrap/>
            <w:vAlign w:val="center"/>
            <w:hideMark/>
          </w:tcPr>
          <w:p w14:paraId="0E65141F" w14:textId="77777777" w:rsidR="00EF3714" w:rsidRPr="00EF3714" w:rsidRDefault="00EF3714" w:rsidP="00EF3714">
            <w:pPr>
              <w:spacing w:after="0" w:line="240" w:lineRule="auto"/>
              <w:rPr>
                <w:color w:val="000000"/>
              </w:rPr>
            </w:pPr>
            <w:r w:rsidRPr="00EF3714">
              <w:rPr>
                <w:color w:val="000000"/>
              </w:rPr>
              <w:t>.10</w:t>
            </w:r>
          </w:p>
        </w:tc>
        <w:tc>
          <w:tcPr>
            <w:tcW w:w="963" w:type="dxa"/>
            <w:tcBorders>
              <w:top w:val="nil"/>
              <w:left w:val="nil"/>
              <w:bottom w:val="nil"/>
              <w:right w:val="nil"/>
            </w:tcBorders>
            <w:shd w:val="clear" w:color="auto" w:fill="auto"/>
            <w:noWrap/>
            <w:vAlign w:val="center"/>
            <w:hideMark/>
          </w:tcPr>
          <w:p w14:paraId="56C1B457" w14:textId="77777777" w:rsidR="00EF3714" w:rsidRPr="00EF3714" w:rsidRDefault="00EF3714" w:rsidP="00EF3714">
            <w:pPr>
              <w:spacing w:after="0" w:line="240" w:lineRule="auto"/>
              <w:rPr>
                <w:color w:val="000000"/>
              </w:rPr>
            </w:pPr>
            <w:r w:rsidRPr="00EF3714">
              <w:rPr>
                <w:color w:val="000000"/>
              </w:rPr>
              <w:t>.74</w:t>
            </w:r>
          </w:p>
        </w:tc>
        <w:tc>
          <w:tcPr>
            <w:tcW w:w="963" w:type="dxa"/>
            <w:tcBorders>
              <w:top w:val="nil"/>
              <w:left w:val="nil"/>
              <w:bottom w:val="nil"/>
              <w:right w:val="nil"/>
            </w:tcBorders>
            <w:shd w:val="clear" w:color="auto" w:fill="auto"/>
            <w:noWrap/>
            <w:vAlign w:val="center"/>
            <w:hideMark/>
          </w:tcPr>
          <w:p w14:paraId="60304798"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373771D4"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6516A329"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307E513C" w14:textId="77777777" w:rsidR="00EF3714" w:rsidRPr="00EF3714" w:rsidRDefault="00EF3714" w:rsidP="00EF3714">
            <w:pPr>
              <w:spacing w:after="0" w:line="240" w:lineRule="auto"/>
              <w:rPr>
                <w:color w:val="000000"/>
              </w:rPr>
            </w:pPr>
            <w:r w:rsidRPr="00EF3714">
              <w:rPr>
                <w:color w:val="000000"/>
              </w:rPr>
              <w:t>.65</w:t>
            </w:r>
          </w:p>
        </w:tc>
        <w:tc>
          <w:tcPr>
            <w:tcW w:w="1257" w:type="dxa"/>
            <w:tcBorders>
              <w:top w:val="nil"/>
              <w:left w:val="nil"/>
              <w:bottom w:val="nil"/>
              <w:right w:val="nil"/>
            </w:tcBorders>
            <w:shd w:val="clear" w:color="auto" w:fill="auto"/>
            <w:noWrap/>
            <w:vAlign w:val="center"/>
            <w:hideMark/>
          </w:tcPr>
          <w:p w14:paraId="78FF2F81"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50B8BD35" w14:textId="77777777" w:rsidTr="00EF3714">
        <w:trPr>
          <w:trHeight w:val="315"/>
        </w:trPr>
        <w:tc>
          <w:tcPr>
            <w:tcW w:w="1650" w:type="dxa"/>
            <w:tcBorders>
              <w:top w:val="nil"/>
              <w:left w:val="nil"/>
              <w:bottom w:val="nil"/>
              <w:right w:val="nil"/>
            </w:tcBorders>
            <w:shd w:val="clear" w:color="auto" w:fill="auto"/>
            <w:noWrap/>
            <w:vAlign w:val="center"/>
            <w:hideMark/>
          </w:tcPr>
          <w:p w14:paraId="36FA22B0" w14:textId="77777777" w:rsidR="00EF3714" w:rsidRPr="00EF3714" w:rsidRDefault="00EF3714" w:rsidP="00EF3714">
            <w:pPr>
              <w:spacing w:after="0" w:line="240" w:lineRule="auto"/>
              <w:jc w:val="left"/>
              <w:rPr>
                <w:color w:val="000000"/>
              </w:rPr>
            </w:pPr>
            <w:r w:rsidRPr="00EF3714">
              <w:rPr>
                <w:color w:val="000000"/>
              </w:rPr>
              <w:t>France</w:t>
            </w:r>
          </w:p>
        </w:tc>
        <w:tc>
          <w:tcPr>
            <w:tcW w:w="963" w:type="dxa"/>
            <w:tcBorders>
              <w:top w:val="nil"/>
              <w:left w:val="nil"/>
              <w:bottom w:val="nil"/>
              <w:right w:val="nil"/>
            </w:tcBorders>
            <w:shd w:val="clear" w:color="auto" w:fill="auto"/>
            <w:noWrap/>
            <w:vAlign w:val="center"/>
            <w:hideMark/>
          </w:tcPr>
          <w:p w14:paraId="351191AE"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7E0E8E95" w14:textId="77777777" w:rsidR="00EF3714" w:rsidRPr="00EF3714" w:rsidRDefault="00EF3714" w:rsidP="00EF3714">
            <w:pPr>
              <w:spacing w:after="0" w:line="240" w:lineRule="auto"/>
              <w:rPr>
                <w:color w:val="000000"/>
              </w:rPr>
            </w:pPr>
            <w:r w:rsidRPr="00EF3714">
              <w:rPr>
                <w:color w:val="000000"/>
              </w:rPr>
              <w:t>.34</w:t>
            </w:r>
          </w:p>
        </w:tc>
        <w:tc>
          <w:tcPr>
            <w:tcW w:w="963" w:type="dxa"/>
            <w:tcBorders>
              <w:top w:val="nil"/>
              <w:left w:val="nil"/>
              <w:bottom w:val="nil"/>
              <w:right w:val="nil"/>
            </w:tcBorders>
            <w:shd w:val="clear" w:color="auto" w:fill="auto"/>
            <w:noWrap/>
            <w:vAlign w:val="center"/>
            <w:hideMark/>
          </w:tcPr>
          <w:p w14:paraId="0F80EA2F"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5FA4D0E2"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nil"/>
              <w:right w:val="nil"/>
            </w:tcBorders>
            <w:shd w:val="clear" w:color="auto" w:fill="auto"/>
            <w:noWrap/>
            <w:vAlign w:val="center"/>
            <w:hideMark/>
          </w:tcPr>
          <w:p w14:paraId="50EE56B3"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628100BE" w14:textId="77777777" w:rsidR="00EF3714" w:rsidRPr="00EF3714" w:rsidRDefault="00EF3714" w:rsidP="00EF3714">
            <w:pPr>
              <w:spacing w:after="0" w:line="240" w:lineRule="auto"/>
              <w:rPr>
                <w:color w:val="000000"/>
              </w:rPr>
            </w:pPr>
            <w:r w:rsidRPr="00EF3714">
              <w:rPr>
                <w:color w:val="000000"/>
              </w:rPr>
              <w:t>.25</w:t>
            </w:r>
          </w:p>
        </w:tc>
        <w:tc>
          <w:tcPr>
            <w:tcW w:w="963" w:type="dxa"/>
            <w:tcBorders>
              <w:top w:val="nil"/>
              <w:left w:val="nil"/>
              <w:bottom w:val="nil"/>
              <w:right w:val="nil"/>
            </w:tcBorders>
            <w:shd w:val="clear" w:color="auto" w:fill="auto"/>
            <w:noWrap/>
            <w:vAlign w:val="center"/>
            <w:hideMark/>
          </w:tcPr>
          <w:p w14:paraId="0A067290" w14:textId="77777777" w:rsidR="00EF3714" w:rsidRPr="00EF3714" w:rsidRDefault="00EF3714" w:rsidP="00EF3714">
            <w:pPr>
              <w:spacing w:after="0" w:line="240" w:lineRule="auto"/>
              <w:rPr>
                <w:color w:val="000000"/>
              </w:rPr>
            </w:pPr>
            <w:r w:rsidRPr="00EF3714">
              <w:rPr>
                <w:color w:val="000000"/>
              </w:rPr>
              <w:t>.69</w:t>
            </w:r>
          </w:p>
        </w:tc>
        <w:tc>
          <w:tcPr>
            <w:tcW w:w="963" w:type="dxa"/>
            <w:tcBorders>
              <w:top w:val="nil"/>
              <w:left w:val="nil"/>
              <w:bottom w:val="nil"/>
              <w:right w:val="nil"/>
            </w:tcBorders>
            <w:shd w:val="clear" w:color="auto" w:fill="auto"/>
            <w:noWrap/>
            <w:vAlign w:val="center"/>
            <w:hideMark/>
          </w:tcPr>
          <w:p w14:paraId="3465A341"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3A34BD25" w14:textId="77777777" w:rsidR="00EF3714" w:rsidRPr="00EF3714" w:rsidRDefault="00EF3714" w:rsidP="00EF3714">
            <w:pPr>
              <w:spacing w:after="0" w:line="240" w:lineRule="auto"/>
              <w:rPr>
                <w:color w:val="000000"/>
              </w:rPr>
            </w:pPr>
            <w:r w:rsidRPr="00EF3714">
              <w:rPr>
                <w:color w:val="000000"/>
              </w:rPr>
              <w:t>.60</w:t>
            </w:r>
          </w:p>
        </w:tc>
        <w:tc>
          <w:tcPr>
            <w:tcW w:w="1257" w:type="dxa"/>
            <w:tcBorders>
              <w:top w:val="nil"/>
              <w:left w:val="nil"/>
              <w:bottom w:val="nil"/>
              <w:right w:val="nil"/>
            </w:tcBorders>
            <w:shd w:val="clear" w:color="auto" w:fill="auto"/>
            <w:noWrap/>
            <w:vAlign w:val="center"/>
            <w:hideMark/>
          </w:tcPr>
          <w:p w14:paraId="144907B1" w14:textId="77777777" w:rsidR="00EF3714" w:rsidRPr="00EF3714" w:rsidRDefault="00EF3714" w:rsidP="00EF3714">
            <w:pPr>
              <w:spacing w:after="0" w:line="240" w:lineRule="auto"/>
              <w:rPr>
                <w:color w:val="000000"/>
              </w:rPr>
            </w:pPr>
            <w:r w:rsidRPr="00EF3714">
              <w:rPr>
                <w:color w:val="000000"/>
              </w:rPr>
              <w:t>.49</w:t>
            </w:r>
          </w:p>
        </w:tc>
      </w:tr>
      <w:tr w:rsidR="00EF3714" w:rsidRPr="00EF3714" w14:paraId="3E2633C1" w14:textId="77777777" w:rsidTr="00EF3714">
        <w:trPr>
          <w:trHeight w:val="315"/>
        </w:trPr>
        <w:tc>
          <w:tcPr>
            <w:tcW w:w="1650" w:type="dxa"/>
            <w:tcBorders>
              <w:top w:val="nil"/>
              <w:left w:val="nil"/>
              <w:bottom w:val="nil"/>
              <w:right w:val="nil"/>
            </w:tcBorders>
            <w:shd w:val="clear" w:color="auto" w:fill="auto"/>
            <w:noWrap/>
            <w:vAlign w:val="center"/>
            <w:hideMark/>
          </w:tcPr>
          <w:p w14:paraId="5A3F8507" w14:textId="77777777" w:rsidR="00EF3714" w:rsidRPr="00EF3714" w:rsidRDefault="00EF3714" w:rsidP="00EF3714">
            <w:pPr>
              <w:spacing w:after="0" w:line="240" w:lineRule="auto"/>
              <w:jc w:val="left"/>
              <w:rPr>
                <w:color w:val="000000"/>
              </w:rPr>
            </w:pPr>
            <w:r w:rsidRPr="00EF3714">
              <w:rPr>
                <w:color w:val="000000"/>
              </w:rPr>
              <w:t>Georgia</w:t>
            </w:r>
          </w:p>
        </w:tc>
        <w:tc>
          <w:tcPr>
            <w:tcW w:w="963" w:type="dxa"/>
            <w:tcBorders>
              <w:top w:val="nil"/>
              <w:left w:val="nil"/>
              <w:bottom w:val="nil"/>
              <w:right w:val="nil"/>
            </w:tcBorders>
            <w:shd w:val="clear" w:color="auto" w:fill="auto"/>
            <w:noWrap/>
            <w:vAlign w:val="center"/>
            <w:hideMark/>
          </w:tcPr>
          <w:p w14:paraId="51DF312A"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7A6DE701"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65440DE4"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7ED5DFD5"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6DF8DFD1" w14:textId="77777777" w:rsidR="00EF3714" w:rsidRPr="00EF3714" w:rsidRDefault="00EF3714" w:rsidP="00EF3714">
            <w:pPr>
              <w:spacing w:after="0" w:line="240" w:lineRule="auto"/>
              <w:rPr>
                <w:color w:val="000000"/>
              </w:rPr>
            </w:pPr>
            <w:r w:rsidRPr="00EF3714">
              <w:rPr>
                <w:color w:val="000000"/>
              </w:rPr>
              <w:t>.77</w:t>
            </w:r>
          </w:p>
        </w:tc>
        <w:tc>
          <w:tcPr>
            <w:tcW w:w="963" w:type="dxa"/>
            <w:tcBorders>
              <w:top w:val="nil"/>
              <w:left w:val="nil"/>
              <w:bottom w:val="nil"/>
              <w:right w:val="nil"/>
            </w:tcBorders>
            <w:shd w:val="clear" w:color="auto" w:fill="auto"/>
            <w:noWrap/>
            <w:vAlign w:val="center"/>
            <w:hideMark/>
          </w:tcPr>
          <w:p w14:paraId="7FAF556D"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046D2439"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6A13484A" w14:textId="77777777" w:rsidR="00EF3714" w:rsidRPr="00EF3714" w:rsidRDefault="00EF3714" w:rsidP="00EF3714">
            <w:pPr>
              <w:spacing w:after="0" w:line="240" w:lineRule="auto"/>
              <w:rPr>
                <w:color w:val="000000"/>
              </w:rPr>
            </w:pPr>
            <w:r w:rsidRPr="00EF3714">
              <w:rPr>
                <w:color w:val="000000"/>
              </w:rPr>
              <w:t>.67</w:t>
            </w:r>
          </w:p>
        </w:tc>
        <w:tc>
          <w:tcPr>
            <w:tcW w:w="963" w:type="dxa"/>
            <w:tcBorders>
              <w:top w:val="nil"/>
              <w:left w:val="nil"/>
              <w:bottom w:val="nil"/>
              <w:right w:val="nil"/>
            </w:tcBorders>
            <w:shd w:val="clear" w:color="auto" w:fill="auto"/>
            <w:noWrap/>
            <w:vAlign w:val="center"/>
            <w:hideMark/>
          </w:tcPr>
          <w:p w14:paraId="00C937D2" w14:textId="77777777" w:rsidR="00EF3714" w:rsidRPr="00EF3714" w:rsidRDefault="00EF3714" w:rsidP="00EF3714">
            <w:pPr>
              <w:spacing w:after="0" w:line="240" w:lineRule="auto"/>
              <w:rPr>
                <w:color w:val="000000"/>
              </w:rPr>
            </w:pPr>
            <w:r w:rsidRPr="00EF3714">
              <w:rPr>
                <w:color w:val="000000"/>
              </w:rPr>
              <w:t>.63</w:t>
            </w:r>
          </w:p>
        </w:tc>
        <w:tc>
          <w:tcPr>
            <w:tcW w:w="1257" w:type="dxa"/>
            <w:tcBorders>
              <w:top w:val="nil"/>
              <w:left w:val="nil"/>
              <w:bottom w:val="nil"/>
              <w:right w:val="nil"/>
            </w:tcBorders>
            <w:shd w:val="clear" w:color="auto" w:fill="auto"/>
            <w:noWrap/>
            <w:vAlign w:val="center"/>
            <w:hideMark/>
          </w:tcPr>
          <w:p w14:paraId="426F2D35"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3B904FC0" w14:textId="77777777" w:rsidTr="00EF3714">
        <w:trPr>
          <w:trHeight w:val="315"/>
        </w:trPr>
        <w:tc>
          <w:tcPr>
            <w:tcW w:w="1650" w:type="dxa"/>
            <w:tcBorders>
              <w:top w:val="nil"/>
              <w:left w:val="nil"/>
              <w:bottom w:val="nil"/>
              <w:right w:val="nil"/>
            </w:tcBorders>
            <w:shd w:val="clear" w:color="auto" w:fill="auto"/>
            <w:noWrap/>
            <w:vAlign w:val="center"/>
            <w:hideMark/>
          </w:tcPr>
          <w:p w14:paraId="5A9C4ED3" w14:textId="77777777" w:rsidR="00EF3714" w:rsidRPr="00EF3714" w:rsidRDefault="00EF3714" w:rsidP="00EF3714">
            <w:pPr>
              <w:spacing w:after="0" w:line="240" w:lineRule="auto"/>
              <w:jc w:val="left"/>
              <w:rPr>
                <w:color w:val="000000"/>
              </w:rPr>
            </w:pPr>
            <w:r w:rsidRPr="00EF3714">
              <w:rPr>
                <w:color w:val="000000"/>
              </w:rPr>
              <w:t>Germany</w:t>
            </w:r>
          </w:p>
        </w:tc>
        <w:tc>
          <w:tcPr>
            <w:tcW w:w="963" w:type="dxa"/>
            <w:tcBorders>
              <w:top w:val="nil"/>
              <w:left w:val="nil"/>
              <w:bottom w:val="nil"/>
              <w:right w:val="nil"/>
            </w:tcBorders>
            <w:shd w:val="clear" w:color="auto" w:fill="auto"/>
            <w:noWrap/>
            <w:vAlign w:val="center"/>
            <w:hideMark/>
          </w:tcPr>
          <w:p w14:paraId="3988DB14" w14:textId="77777777" w:rsidR="00EF3714" w:rsidRPr="00EF3714" w:rsidRDefault="00EF3714" w:rsidP="00EF3714">
            <w:pPr>
              <w:spacing w:after="0" w:line="240" w:lineRule="auto"/>
              <w:rPr>
                <w:color w:val="000000"/>
              </w:rPr>
            </w:pPr>
            <w:r w:rsidRPr="00EF3714">
              <w:rPr>
                <w:color w:val="000000"/>
              </w:rPr>
              <w:t>.31</w:t>
            </w:r>
          </w:p>
        </w:tc>
        <w:tc>
          <w:tcPr>
            <w:tcW w:w="963" w:type="dxa"/>
            <w:tcBorders>
              <w:top w:val="nil"/>
              <w:left w:val="nil"/>
              <w:bottom w:val="nil"/>
              <w:right w:val="nil"/>
            </w:tcBorders>
            <w:shd w:val="clear" w:color="auto" w:fill="auto"/>
            <w:noWrap/>
            <w:vAlign w:val="center"/>
            <w:hideMark/>
          </w:tcPr>
          <w:p w14:paraId="524973B8"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66E9316F" w14:textId="77777777" w:rsidR="00EF3714" w:rsidRPr="00EF3714" w:rsidRDefault="00EF3714" w:rsidP="00EF3714">
            <w:pPr>
              <w:spacing w:after="0" w:line="240" w:lineRule="auto"/>
              <w:rPr>
                <w:color w:val="000000"/>
              </w:rPr>
            </w:pPr>
            <w:r w:rsidRPr="00EF3714">
              <w:rPr>
                <w:color w:val="000000"/>
              </w:rPr>
              <w:t>.66</w:t>
            </w:r>
          </w:p>
        </w:tc>
        <w:tc>
          <w:tcPr>
            <w:tcW w:w="963" w:type="dxa"/>
            <w:tcBorders>
              <w:top w:val="nil"/>
              <w:left w:val="nil"/>
              <w:bottom w:val="nil"/>
              <w:right w:val="nil"/>
            </w:tcBorders>
            <w:shd w:val="clear" w:color="auto" w:fill="auto"/>
            <w:noWrap/>
            <w:vAlign w:val="center"/>
            <w:hideMark/>
          </w:tcPr>
          <w:p w14:paraId="1B1A5621" w14:textId="77777777" w:rsidR="00EF3714" w:rsidRPr="00EF3714" w:rsidRDefault="00EF3714" w:rsidP="00EF3714">
            <w:pPr>
              <w:spacing w:after="0" w:line="240" w:lineRule="auto"/>
              <w:rPr>
                <w:color w:val="000000"/>
              </w:rPr>
            </w:pPr>
            <w:r w:rsidRPr="00EF3714">
              <w:rPr>
                <w:color w:val="000000"/>
              </w:rPr>
              <w:t>.11</w:t>
            </w:r>
          </w:p>
        </w:tc>
        <w:tc>
          <w:tcPr>
            <w:tcW w:w="963" w:type="dxa"/>
            <w:tcBorders>
              <w:top w:val="nil"/>
              <w:left w:val="nil"/>
              <w:bottom w:val="nil"/>
              <w:right w:val="nil"/>
            </w:tcBorders>
            <w:shd w:val="clear" w:color="auto" w:fill="auto"/>
            <w:noWrap/>
            <w:vAlign w:val="center"/>
            <w:hideMark/>
          </w:tcPr>
          <w:p w14:paraId="5C66EB8E" w14:textId="77777777" w:rsidR="00EF3714" w:rsidRPr="00EF3714" w:rsidRDefault="00EF3714" w:rsidP="00EF3714">
            <w:pPr>
              <w:spacing w:after="0" w:line="240" w:lineRule="auto"/>
              <w:rPr>
                <w:color w:val="000000"/>
              </w:rPr>
            </w:pPr>
            <w:r w:rsidRPr="00EF3714">
              <w:rPr>
                <w:color w:val="000000"/>
              </w:rPr>
              <w:t>.69</w:t>
            </w:r>
          </w:p>
        </w:tc>
        <w:tc>
          <w:tcPr>
            <w:tcW w:w="963" w:type="dxa"/>
            <w:tcBorders>
              <w:top w:val="nil"/>
              <w:left w:val="nil"/>
              <w:bottom w:val="nil"/>
              <w:right w:val="nil"/>
            </w:tcBorders>
            <w:shd w:val="clear" w:color="auto" w:fill="auto"/>
            <w:noWrap/>
            <w:vAlign w:val="center"/>
            <w:hideMark/>
          </w:tcPr>
          <w:p w14:paraId="73678FEF"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nil"/>
              <w:right w:val="nil"/>
            </w:tcBorders>
            <w:shd w:val="clear" w:color="auto" w:fill="auto"/>
            <w:noWrap/>
            <w:vAlign w:val="center"/>
            <w:hideMark/>
          </w:tcPr>
          <w:p w14:paraId="6709AC7F"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792B7AE5"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14169F93" w14:textId="77777777" w:rsidR="00EF3714" w:rsidRPr="00EF3714" w:rsidRDefault="00EF3714" w:rsidP="00EF3714">
            <w:pPr>
              <w:spacing w:after="0" w:line="240" w:lineRule="auto"/>
              <w:rPr>
                <w:color w:val="000000"/>
              </w:rPr>
            </w:pPr>
            <w:r w:rsidRPr="00EF3714">
              <w:rPr>
                <w:color w:val="000000"/>
              </w:rPr>
              <w:t>.66</w:t>
            </w:r>
          </w:p>
        </w:tc>
        <w:tc>
          <w:tcPr>
            <w:tcW w:w="1257" w:type="dxa"/>
            <w:tcBorders>
              <w:top w:val="nil"/>
              <w:left w:val="nil"/>
              <w:bottom w:val="nil"/>
              <w:right w:val="nil"/>
            </w:tcBorders>
            <w:shd w:val="clear" w:color="auto" w:fill="auto"/>
            <w:noWrap/>
            <w:vAlign w:val="center"/>
            <w:hideMark/>
          </w:tcPr>
          <w:p w14:paraId="42F491F6" w14:textId="77777777" w:rsidR="00EF3714" w:rsidRPr="00EF3714" w:rsidRDefault="00EF3714" w:rsidP="00EF3714">
            <w:pPr>
              <w:spacing w:after="0" w:line="240" w:lineRule="auto"/>
              <w:rPr>
                <w:color w:val="000000"/>
              </w:rPr>
            </w:pPr>
            <w:r w:rsidRPr="00EF3714">
              <w:rPr>
                <w:color w:val="000000"/>
              </w:rPr>
              <w:t>.43</w:t>
            </w:r>
          </w:p>
        </w:tc>
      </w:tr>
      <w:tr w:rsidR="00EF3714" w:rsidRPr="00EF3714" w14:paraId="139AD86E" w14:textId="77777777" w:rsidTr="00EF3714">
        <w:trPr>
          <w:trHeight w:val="315"/>
        </w:trPr>
        <w:tc>
          <w:tcPr>
            <w:tcW w:w="1650" w:type="dxa"/>
            <w:tcBorders>
              <w:top w:val="nil"/>
              <w:left w:val="nil"/>
              <w:bottom w:val="nil"/>
              <w:right w:val="nil"/>
            </w:tcBorders>
            <w:shd w:val="clear" w:color="auto" w:fill="auto"/>
            <w:noWrap/>
            <w:vAlign w:val="center"/>
            <w:hideMark/>
          </w:tcPr>
          <w:p w14:paraId="2A505A3C" w14:textId="77777777" w:rsidR="00EF3714" w:rsidRPr="00EF3714" w:rsidRDefault="00EF3714" w:rsidP="00EF3714">
            <w:pPr>
              <w:spacing w:after="0" w:line="240" w:lineRule="auto"/>
              <w:jc w:val="left"/>
              <w:rPr>
                <w:color w:val="000000"/>
              </w:rPr>
            </w:pPr>
            <w:r w:rsidRPr="00EF3714">
              <w:rPr>
                <w:color w:val="000000"/>
              </w:rPr>
              <w:t>Greece</w:t>
            </w:r>
          </w:p>
        </w:tc>
        <w:tc>
          <w:tcPr>
            <w:tcW w:w="963" w:type="dxa"/>
            <w:tcBorders>
              <w:top w:val="nil"/>
              <w:left w:val="nil"/>
              <w:bottom w:val="nil"/>
              <w:right w:val="nil"/>
            </w:tcBorders>
            <w:shd w:val="clear" w:color="auto" w:fill="auto"/>
            <w:noWrap/>
            <w:vAlign w:val="center"/>
            <w:hideMark/>
          </w:tcPr>
          <w:p w14:paraId="67A26F55"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5D961147" w14:textId="77777777" w:rsidR="00EF3714" w:rsidRPr="00EF3714" w:rsidRDefault="00EF3714" w:rsidP="00EF3714">
            <w:pPr>
              <w:spacing w:after="0" w:line="240" w:lineRule="auto"/>
              <w:rPr>
                <w:color w:val="000000"/>
              </w:rPr>
            </w:pPr>
            <w:r w:rsidRPr="00EF3714">
              <w:rPr>
                <w:color w:val="000000"/>
              </w:rPr>
              <w:t>.31</w:t>
            </w:r>
          </w:p>
        </w:tc>
        <w:tc>
          <w:tcPr>
            <w:tcW w:w="963" w:type="dxa"/>
            <w:tcBorders>
              <w:top w:val="nil"/>
              <w:left w:val="nil"/>
              <w:bottom w:val="nil"/>
              <w:right w:val="nil"/>
            </w:tcBorders>
            <w:shd w:val="clear" w:color="auto" w:fill="auto"/>
            <w:noWrap/>
            <w:vAlign w:val="center"/>
            <w:hideMark/>
          </w:tcPr>
          <w:p w14:paraId="6121C53B"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67984C9C" w14:textId="77777777" w:rsidR="00EF3714" w:rsidRPr="00EF3714" w:rsidRDefault="00EF3714" w:rsidP="00EF3714">
            <w:pPr>
              <w:spacing w:after="0" w:line="240" w:lineRule="auto"/>
              <w:rPr>
                <w:color w:val="000000"/>
              </w:rPr>
            </w:pPr>
            <w:r w:rsidRPr="00EF3714">
              <w:rPr>
                <w:color w:val="000000"/>
              </w:rPr>
              <w:t>.57</w:t>
            </w:r>
          </w:p>
        </w:tc>
        <w:tc>
          <w:tcPr>
            <w:tcW w:w="963" w:type="dxa"/>
            <w:tcBorders>
              <w:top w:val="nil"/>
              <w:left w:val="nil"/>
              <w:bottom w:val="nil"/>
              <w:right w:val="nil"/>
            </w:tcBorders>
            <w:shd w:val="clear" w:color="auto" w:fill="auto"/>
            <w:noWrap/>
            <w:vAlign w:val="center"/>
            <w:hideMark/>
          </w:tcPr>
          <w:p w14:paraId="58BFF741"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577D58BF"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7EC272F2" w14:textId="77777777" w:rsidR="00EF3714" w:rsidRPr="00EF3714" w:rsidRDefault="00EF3714" w:rsidP="00EF3714">
            <w:pPr>
              <w:spacing w:after="0" w:line="240" w:lineRule="auto"/>
              <w:rPr>
                <w:color w:val="000000"/>
              </w:rPr>
            </w:pPr>
            <w:r w:rsidRPr="00EF3714">
              <w:rPr>
                <w:color w:val="000000"/>
              </w:rPr>
              <w:t>.68</w:t>
            </w:r>
          </w:p>
        </w:tc>
        <w:tc>
          <w:tcPr>
            <w:tcW w:w="963" w:type="dxa"/>
            <w:tcBorders>
              <w:top w:val="nil"/>
              <w:left w:val="nil"/>
              <w:bottom w:val="nil"/>
              <w:right w:val="nil"/>
            </w:tcBorders>
            <w:shd w:val="clear" w:color="auto" w:fill="auto"/>
            <w:noWrap/>
            <w:vAlign w:val="center"/>
            <w:hideMark/>
          </w:tcPr>
          <w:p w14:paraId="04C0ACC6"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6EB0C8F8" w14:textId="77777777" w:rsidR="00EF3714" w:rsidRPr="00EF3714" w:rsidRDefault="00EF3714" w:rsidP="00EF3714">
            <w:pPr>
              <w:spacing w:after="0" w:line="240" w:lineRule="auto"/>
              <w:rPr>
                <w:color w:val="000000"/>
              </w:rPr>
            </w:pPr>
            <w:r w:rsidRPr="00EF3714">
              <w:rPr>
                <w:color w:val="000000"/>
              </w:rPr>
              <w:t>.67</w:t>
            </w:r>
          </w:p>
        </w:tc>
        <w:tc>
          <w:tcPr>
            <w:tcW w:w="1257" w:type="dxa"/>
            <w:tcBorders>
              <w:top w:val="nil"/>
              <w:left w:val="nil"/>
              <w:bottom w:val="nil"/>
              <w:right w:val="nil"/>
            </w:tcBorders>
            <w:shd w:val="clear" w:color="auto" w:fill="auto"/>
            <w:noWrap/>
            <w:vAlign w:val="center"/>
            <w:hideMark/>
          </w:tcPr>
          <w:p w14:paraId="0F1AD645" w14:textId="77777777" w:rsidR="00EF3714" w:rsidRPr="00EF3714" w:rsidRDefault="00EF3714" w:rsidP="00EF3714">
            <w:pPr>
              <w:spacing w:after="0" w:line="240" w:lineRule="auto"/>
              <w:rPr>
                <w:color w:val="000000"/>
              </w:rPr>
            </w:pPr>
            <w:r w:rsidRPr="00EF3714">
              <w:rPr>
                <w:color w:val="000000"/>
              </w:rPr>
              <w:t>.42</w:t>
            </w:r>
          </w:p>
        </w:tc>
      </w:tr>
      <w:tr w:rsidR="00EF3714" w:rsidRPr="00EF3714" w14:paraId="7C275DA5" w14:textId="77777777" w:rsidTr="00EF3714">
        <w:trPr>
          <w:trHeight w:val="315"/>
        </w:trPr>
        <w:tc>
          <w:tcPr>
            <w:tcW w:w="1650" w:type="dxa"/>
            <w:tcBorders>
              <w:top w:val="nil"/>
              <w:left w:val="nil"/>
              <w:bottom w:val="nil"/>
              <w:right w:val="nil"/>
            </w:tcBorders>
            <w:shd w:val="clear" w:color="auto" w:fill="auto"/>
            <w:noWrap/>
            <w:vAlign w:val="center"/>
            <w:hideMark/>
          </w:tcPr>
          <w:p w14:paraId="366DB2C0" w14:textId="77777777" w:rsidR="00EF3714" w:rsidRPr="00EF3714" w:rsidRDefault="00EF3714" w:rsidP="00EF3714">
            <w:pPr>
              <w:spacing w:after="0" w:line="240" w:lineRule="auto"/>
              <w:jc w:val="left"/>
              <w:rPr>
                <w:color w:val="000000"/>
              </w:rPr>
            </w:pPr>
            <w:r w:rsidRPr="00EF3714">
              <w:rPr>
                <w:color w:val="000000"/>
              </w:rPr>
              <w:t>Hong Kong</w:t>
            </w:r>
          </w:p>
        </w:tc>
        <w:tc>
          <w:tcPr>
            <w:tcW w:w="963" w:type="dxa"/>
            <w:tcBorders>
              <w:top w:val="nil"/>
              <w:left w:val="nil"/>
              <w:bottom w:val="nil"/>
              <w:right w:val="nil"/>
            </w:tcBorders>
            <w:shd w:val="clear" w:color="auto" w:fill="auto"/>
            <w:noWrap/>
            <w:vAlign w:val="center"/>
            <w:hideMark/>
          </w:tcPr>
          <w:p w14:paraId="296F51D5"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2EA3294E" w14:textId="77777777" w:rsidR="00EF3714" w:rsidRPr="00EF3714" w:rsidRDefault="00EF3714" w:rsidP="00EF3714">
            <w:pPr>
              <w:spacing w:after="0" w:line="240" w:lineRule="auto"/>
              <w:rPr>
                <w:color w:val="000000"/>
              </w:rPr>
            </w:pPr>
            <w:r w:rsidRPr="00EF3714">
              <w:rPr>
                <w:color w:val="000000"/>
              </w:rPr>
              <w:t>.57</w:t>
            </w:r>
          </w:p>
        </w:tc>
        <w:tc>
          <w:tcPr>
            <w:tcW w:w="963" w:type="dxa"/>
            <w:tcBorders>
              <w:top w:val="nil"/>
              <w:left w:val="nil"/>
              <w:bottom w:val="nil"/>
              <w:right w:val="nil"/>
            </w:tcBorders>
            <w:shd w:val="clear" w:color="auto" w:fill="auto"/>
            <w:noWrap/>
            <w:vAlign w:val="center"/>
            <w:hideMark/>
          </w:tcPr>
          <w:p w14:paraId="44744F68"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3D1719DB"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3A47AE91"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6B00B981"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15D978FC" w14:textId="77777777" w:rsidR="00EF3714" w:rsidRPr="00EF3714" w:rsidRDefault="00EF3714" w:rsidP="00EF3714">
            <w:pPr>
              <w:spacing w:after="0" w:line="240" w:lineRule="auto"/>
              <w:rPr>
                <w:color w:val="000000"/>
              </w:rPr>
            </w:pPr>
            <w:r w:rsidRPr="00EF3714">
              <w:rPr>
                <w:color w:val="000000"/>
              </w:rPr>
              <w:t>.62</w:t>
            </w:r>
          </w:p>
        </w:tc>
        <w:tc>
          <w:tcPr>
            <w:tcW w:w="963" w:type="dxa"/>
            <w:tcBorders>
              <w:top w:val="nil"/>
              <w:left w:val="nil"/>
              <w:bottom w:val="nil"/>
              <w:right w:val="nil"/>
            </w:tcBorders>
            <w:shd w:val="clear" w:color="auto" w:fill="auto"/>
            <w:noWrap/>
            <w:vAlign w:val="center"/>
            <w:hideMark/>
          </w:tcPr>
          <w:p w14:paraId="53031D68"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398C1206" w14:textId="77777777" w:rsidR="00EF3714" w:rsidRPr="00EF3714" w:rsidRDefault="00EF3714" w:rsidP="00EF3714">
            <w:pPr>
              <w:spacing w:after="0" w:line="240" w:lineRule="auto"/>
              <w:rPr>
                <w:color w:val="000000"/>
              </w:rPr>
            </w:pPr>
            <w:r w:rsidRPr="00EF3714">
              <w:rPr>
                <w:color w:val="000000"/>
              </w:rPr>
              <w:t>.52</w:t>
            </w:r>
          </w:p>
        </w:tc>
        <w:tc>
          <w:tcPr>
            <w:tcW w:w="1257" w:type="dxa"/>
            <w:tcBorders>
              <w:top w:val="nil"/>
              <w:left w:val="nil"/>
              <w:bottom w:val="nil"/>
              <w:right w:val="nil"/>
            </w:tcBorders>
            <w:shd w:val="clear" w:color="auto" w:fill="auto"/>
            <w:noWrap/>
            <w:vAlign w:val="center"/>
            <w:hideMark/>
          </w:tcPr>
          <w:p w14:paraId="4D9C3197" w14:textId="77777777" w:rsidR="00EF3714" w:rsidRPr="00EF3714" w:rsidRDefault="00EF3714" w:rsidP="00EF3714">
            <w:pPr>
              <w:spacing w:after="0" w:line="240" w:lineRule="auto"/>
              <w:rPr>
                <w:color w:val="000000"/>
              </w:rPr>
            </w:pPr>
            <w:r w:rsidRPr="00EF3714">
              <w:rPr>
                <w:color w:val="000000"/>
              </w:rPr>
              <w:t>.53</w:t>
            </w:r>
          </w:p>
        </w:tc>
      </w:tr>
      <w:tr w:rsidR="00EF3714" w:rsidRPr="00EF3714" w14:paraId="2CE0A338" w14:textId="77777777" w:rsidTr="00EF3714">
        <w:trPr>
          <w:trHeight w:val="315"/>
        </w:trPr>
        <w:tc>
          <w:tcPr>
            <w:tcW w:w="1650" w:type="dxa"/>
            <w:tcBorders>
              <w:top w:val="nil"/>
              <w:left w:val="nil"/>
              <w:bottom w:val="nil"/>
              <w:right w:val="nil"/>
            </w:tcBorders>
            <w:shd w:val="clear" w:color="auto" w:fill="auto"/>
            <w:noWrap/>
            <w:vAlign w:val="center"/>
            <w:hideMark/>
          </w:tcPr>
          <w:p w14:paraId="0D408372" w14:textId="77777777" w:rsidR="00EF3714" w:rsidRPr="00EF3714" w:rsidRDefault="00EF3714" w:rsidP="00EF3714">
            <w:pPr>
              <w:spacing w:after="0" w:line="240" w:lineRule="auto"/>
              <w:jc w:val="left"/>
              <w:rPr>
                <w:color w:val="000000"/>
              </w:rPr>
            </w:pPr>
            <w:r w:rsidRPr="00EF3714">
              <w:rPr>
                <w:color w:val="000000"/>
              </w:rPr>
              <w:t>Hungary</w:t>
            </w:r>
          </w:p>
        </w:tc>
        <w:tc>
          <w:tcPr>
            <w:tcW w:w="963" w:type="dxa"/>
            <w:tcBorders>
              <w:top w:val="nil"/>
              <w:left w:val="nil"/>
              <w:bottom w:val="nil"/>
              <w:right w:val="nil"/>
            </w:tcBorders>
            <w:shd w:val="clear" w:color="auto" w:fill="auto"/>
            <w:noWrap/>
            <w:vAlign w:val="center"/>
            <w:hideMark/>
          </w:tcPr>
          <w:p w14:paraId="7EFF73AB"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29055D5C"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4DDB5E2D"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73B8B052" w14:textId="77777777" w:rsidR="00EF3714" w:rsidRPr="00EF3714" w:rsidRDefault="00EF3714" w:rsidP="00EF3714">
            <w:pPr>
              <w:spacing w:after="0" w:line="240" w:lineRule="auto"/>
              <w:rPr>
                <w:color w:val="000000"/>
              </w:rPr>
            </w:pPr>
            <w:r w:rsidRPr="00EF3714">
              <w:rPr>
                <w:color w:val="000000"/>
              </w:rPr>
              <w:t>.08</w:t>
            </w:r>
          </w:p>
        </w:tc>
        <w:tc>
          <w:tcPr>
            <w:tcW w:w="963" w:type="dxa"/>
            <w:tcBorders>
              <w:top w:val="nil"/>
              <w:left w:val="nil"/>
              <w:bottom w:val="nil"/>
              <w:right w:val="nil"/>
            </w:tcBorders>
            <w:shd w:val="clear" w:color="auto" w:fill="auto"/>
            <w:noWrap/>
            <w:vAlign w:val="center"/>
            <w:hideMark/>
          </w:tcPr>
          <w:p w14:paraId="0F51410A"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3B38CADD"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0CCB5CE6"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70B7AA82"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51153DF4" w14:textId="77777777" w:rsidR="00EF3714" w:rsidRPr="00EF3714" w:rsidRDefault="00EF3714" w:rsidP="00EF3714">
            <w:pPr>
              <w:spacing w:after="0" w:line="240" w:lineRule="auto"/>
              <w:rPr>
                <w:color w:val="000000"/>
              </w:rPr>
            </w:pPr>
            <w:r w:rsidRPr="00EF3714">
              <w:rPr>
                <w:color w:val="000000"/>
              </w:rPr>
              <w:t>.73</w:t>
            </w:r>
          </w:p>
        </w:tc>
        <w:tc>
          <w:tcPr>
            <w:tcW w:w="1257" w:type="dxa"/>
            <w:tcBorders>
              <w:top w:val="nil"/>
              <w:left w:val="nil"/>
              <w:bottom w:val="nil"/>
              <w:right w:val="nil"/>
            </w:tcBorders>
            <w:shd w:val="clear" w:color="auto" w:fill="auto"/>
            <w:noWrap/>
            <w:vAlign w:val="center"/>
            <w:hideMark/>
          </w:tcPr>
          <w:p w14:paraId="36F695E1" w14:textId="77777777" w:rsidR="00EF3714" w:rsidRPr="00EF3714" w:rsidRDefault="00EF3714" w:rsidP="00EF3714">
            <w:pPr>
              <w:spacing w:after="0" w:line="240" w:lineRule="auto"/>
              <w:rPr>
                <w:color w:val="000000"/>
              </w:rPr>
            </w:pPr>
            <w:r w:rsidRPr="00EF3714">
              <w:rPr>
                <w:color w:val="000000"/>
              </w:rPr>
              <w:t>.41</w:t>
            </w:r>
          </w:p>
        </w:tc>
      </w:tr>
      <w:tr w:rsidR="00EF3714" w:rsidRPr="00EF3714" w14:paraId="4D32C13F" w14:textId="77777777" w:rsidTr="00EF3714">
        <w:trPr>
          <w:trHeight w:val="315"/>
        </w:trPr>
        <w:tc>
          <w:tcPr>
            <w:tcW w:w="1650" w:type="dxa"/>
            <w:tcBorders>
              <w:top w:val="nil"/>
              <w:left w:val="nil"/>
              <w:bottom w:val="nil"/>
              <w:right w:val="nil"/>
            </w:tcBorders>
            <w:shd w:val="clear" w:color="auto" w:fill="auto"/>
            <w:noWrap/>
            <w:vAlign w:val="center"/>
            <w:hideMark/>
          </w:tcPr>
          <w:p w14:paraId="40E263F3" w14:textId="77777777" w:rsidR="00EF3714" w:rsidRPr="00EF3714" w:rsidRDefault="00EF3714" w:rsidP="00EF3714">
            <w:pPr>
              <w:spacing w:after="0" w:line="240" w:lineRule="auto"/>
              <w:jc w:val="left"/>
              <w:rPr>
                <w:color w:val="000000"/>
              </w:rPr>
            </w:pPr>
            <w:r w:rsidRPr="00EF3714">
              <w:rPr>
                <w:color w:val="000000"/>
              </w:rPr>
              <w:t>India</w:t>
            </w:r>
          </w:p>
        </w:tc>
        <w:tc>
          <w:tcPr>
            <w:tcW w:w="963" w:type="dxa"/>
            <w:tcBorders>
              <w:top w:val="nil"/>
              <w:left w:val="nil"/>
              <w:bottom w:val="nil"/>
              <w:right w:val="nil"/>
            </w:tcBorders>
            <w:shd w:val="clear" w:color="auto" w:fill="auto"/>
            <w:noWrap/>
            <w:vAlign w:val="center"/>
            <w:hideMark/>
          </w:tcPr>
          <w:p w14:paraId="48213B7E"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3DF41EED"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59532EE1"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673A6433"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nil"/>
              <w:right w:val="nil"/>
            </w:tcBorders>
            <w:shd w:val="clear" w:color="auto" w:fill="auto"/>
            <w:noWrap/>
            <w:vAlign w:val="center"/>
            <w:hideMark/>
          </w:tcPr>
          <w:p w14:paraId="4622D909"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41ED064F"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3D17EEF3"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5A36A97B"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7E10BF47" w14:textId="77777777" w:rsidR="00EF3714" w:rsidRPr="00EF3714" w:rsidRDefault="00EF3714" w:rsidP="00EF3714">
            <w:pPr>
              <w:spacing w:after="0" w:line="240" w:lineRule="auto"/>
              <w:rPr>
                <w:color w:val="000000"/>
              </w:rPr>
            </w:pPr>
            <w:r w:rsidRPr="00EF3714">
              <w:rPr>
                <w:color w:val="000000"/>
              </w:rPr>
              <w:t>.38</w:t>
            </w:r>
          </w:p>
        </w:tc>
        <w:tc>
          <w:tcPr>
            <w:tcW w:w="1257" w:type="dxa"/>
            <w:tcBorders>
              <w:top w:val="nil"/>
              <w:left w:val="nil"/>
              <w:bottom w:val="nil"/>
              <w:right w:val="nil"/>
            </w:tcBorders>
            <w:shd w:val="clear" w:color="auto" w:fill="auto"/>
            <w:noWrap/>
            <w:vAlign w:val="center"/>
            <w:hideMark/>
          </w:tcPr>
          <w:p w14:paraId="638700B3" w14:textId="77777777" w:rsidR="00EF3714" w:rsidRPr="00EF3714" w:rsidRDefault="00EF3714" w:rsidP="00EF3714">
            <w:pPr>
              <w:spacing w:after="0" w:line="240" w:lineRule="auto"/>
              <w:rPr>
                <w:color w:val="000000"/>
              </w:rPr>
            </w:pPr>
            <w:r w:rsidRPr="00EF3714">
              <w:rPr>
                <w:color w:val="000000"/>
              </w:rPr>
              <w:t>.38</w:t>
            </w:r>
          </w:p>
        </w:tc>
      </w:tr>
      <w:tr w:rsidR="00EF3714" w:rsidRPr="00EF3714" w14:paraId="7149B1F3" w14:textId="77777777" w:rsidTr="00EF3714">
        <w:trPr>
          <w:trHeight w:val="315"/>
        </w:trPr>
        <w:tc>
          <w:tcPr>
            <w:tcW w:w="1650" w:type="dxa"/>
            <w:tcBorders>
              <w:top w:val="nil"/>
              <w:left w:val="nil"/>
              <w:bottom w:val="nil"/>
              <w:right w:val="nil"/>
            </w:tcBorders>
            <w:shd w:val="clear" w:color="auto" w:fill="auto"/>
            <w:noWrap/>
            <w:vAlign w:val="center"/>
            <w:hideMark/>
          </w:tcPr>
          <w:p w14:paraId="2F2C6F25" w14:textId="77777777" w:rsidR="00EF3714" w:rsidRPr="00EF3714" w:rsidRDefault="00EF3714" w:rsidP="00EF3714">
            <w:pPr>
              <w:spacing w:after="0" w:line="240" w:lineRule="auto"/>
              <w:jc w:val="left"/>
              <w:rPr>
                <w:color w:val="000000"/>
              </w:rPr>
            </w:pPr>
            <w:r w:rsidRPr="00EF3714">
              <w:rPr>
                <w:color w:val="000000"/>
              </w:rPr>
              <w:t>Indonesia</w:t>
            </w:r>
          </w:p>
        </w:tc>
        <w:tc>
          <w:tcPr>
            <w:tcW w:w="963" w:type="dxa"/>
            <w:tcBorders>
              <w:top w:val="nil"/>
              <w:left w:val="nil"/>
              <w:bottom w:val="nil"/>
              <w:right w:val="nil"/>
            </w:tcBorders>
            <w:shd w:val="clear" w:color="auto" w:fill="auto"/>
            <w:noWrap/>
            <w:vAlign w:val="center"/>
            <w:hideMark/>
          </w:tcPr>
          <w:p w14:paraId="56B0AF70"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53474316" w14:textId="77777777" w:rsidR="00EF3714" w:rsidRPr="00EF3714" w:rsidRDefault="00EF3714" w:rsidP="00EF3714">
            <w:pPr>
              <w:spacing w:after="0" w:line="240" w:lineRule="auto"/>
              <w:rPr>
                <w:color w:val="000000"/>
              </w:rPr>
            </w:pPr>
            <w:r w:rsidRPr="00EF3714">
              <w:rPr>
                <w:color w:val="000000"/>
              </w:rPr>
              <w:t>.90</w:t>
            </w:r>
          </w:p>
        </w:tc>
        <w:tc>
          <w:tcPr>
            <w:tcW w:w="963" w:type="dxa"/>
            <w:tcBorders>
              <w:top w:val="nil"/>
              <w:left w:val="nil"/>
              <w:bottom w:val="nil"/>
              <w:right w:val="nil"/>
            </w:tcBorders>
            <w:shd w:val="clear" w:color="auto" w:fill="auto"/>
            <w:noWrap/>
            <w:vAlign w:val="center"/>
            <w:hideMark/>
          </w:tcPr>
          <w:p w14:paraId="6FE5964E"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55C41D14" w14:textId="77777777" w:rsidR="00EF3714" w:rsidRPr="00EF3714" w:rsidRDefault="00EF3714" w:rsidP="00EF3714">
            <w:pPr>
              <w:spacing w:after="0" w:line="240" w:lineRule="auto"/>
              <w:rPr>
                <w:color w:val="000000"/>
              </w:rPr>
            </w:pPr>
            <w:r w:rsidRPr="00EF3714">
              <w:rPr>
                <w:color w:val="000000"/>
              </w:rPr>
              <w:t>.17</w:t>
            </w:r>
          </w:p>
        </w:tc>
        <w:tc>
          <w:tcPr>
            <w:tcW w:w="963" w:type="dxa"/>
            <w:tcBorders>
              <w:top w:val="nil"/>
              <w:left w:val="nil"/>
              <w:bottom w:val="nil"/>
              <w:right w:val="nil"/>
            </w:tcBorders>
            <w:shd w:val="clear" w:color="auto" w:fill="auto"/>
            <w:noWrap/>
            <w:vAlign w:val="center"/>
            <w:hideMark/>
          </w:tcPr>
          <w:p w14:paraId="5F9C7416" w14:textId="77777777" w:rsidR="00EF3714" w:rsidRPr="00EF3714" w:rsidRDefault="00EF3714" w:rsidP="00EF3714">
            <w:pPr>
              <w:spacing w:after="0" w:line="240" w:lineRule="auto"/>
              <w:rPr>
                <w:color w:val="000000"/>
              </w:rPr>
            </w:pPr>
            <w:r w:rsidRPr="00EF3714">
              <w:rPr>
                <w:color w:val="000000"/>
              </w:rPr>
              <w:t>.04</w:t>
            </w:r>
          </w:p>
        </w:tc>
        <w:tc>
          <w:tcPr>
            <w:tcW w:w="963" w:type="dxa"/>
            <w:tcBorders>
              <w:top w:val="nil"/>
              <w:left w:val="nil"/>
              <w:bottom w:val="nil"/>
              <w:right w:val="nil"/>
            </w:tcBorders>
            <w:shd w:val="clear" w:color="auto" w:fill="auto"/>
            <w:noWrap/>
            <w:vAlign w:val="center"/>
            <w:hideMark/>
          </w:tcPr>
          <w:p w14:paraId="101E5872"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nil"/>
              <w:right w:val="nil"/>
            </w:tcBorders>
            <w:shd w:val="clear" w:color="auto" w:fill="auto"/>
            <w:noWrap/>
            <w:vAlign w:val="center"/>
            <w:hideMark/>
          </w:tcPr>
          <w:p w14:paraId="7733C8D4"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18AC6ECB"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2A232C4D" w14:textId="77777777" w:rsidR="00EF3714" w:rsidRPr="00EF3714" w:rsidRDefault="00EF3714" w:rsidP="00EF3714">
            <w:pPr>
              <w:spacing w:after="0" w:line="240" w:lineRule="auto"/>
              <w:rPr>
                <w:color w:val="000000"/>
              </w:rPr>
            </w:pPr>
            <w:r w:rsidRPr="00EF3714">
              <w:rPr>
                <w:color w:val="000000"/>
              </w:rPr>
              <w:t>.28</w:t>
            </w:r>
          </w:p>
        </w:tc>
        <w:tc>
          <w:tcPr>
            <w:tcW w:w="1257" w:type="dxa"/>
            <w:tcBorders>
              <w:top w:val="nil"/>
              <w:left w:val="nil"/>
              <w:bottom w:val="nil"/>
              <w:right w:val="nil"/>
            </w:tcBorders>
            <w:shd w:val="clear" w:color="auto" w:fill="auto"/>
            <w:noWrap/>
            <w:vAlign w:val="center"/>
            <w:hideMark/>
          </w:tcPr>
          <w:p w14:paraId="2267558C" w14:textId="77777777" w:rsidR="00EF3714" w:rsidRPr="00EF3714" w:rsidRDefault="00EF3714" w:rsidP="00EF3714">
            <w:pPr>
              <w:spacing w:after="0" w:line="240" w:lineRule="auto"/>
              <w:rPr>
                <w:color w:val="000000"/>
              </w:rPr>
            </w:pPr>
            <w:r w:rsidRPr="00EF3714">
              <w:rPr>
                <w:color w:val="000000"/>
              </w:rPr>
              <w:t>.41</w:t>
            </w:r>
          </w:p>
        </w:tc>
      </w:tr>
      <w:tr w:rsidR="00EF3714" w:rsidRPr="00EF3714" w14:paraId="6C3D125E" w14:textId="77777777" w:rsidTr="00EF3714">
        <w:trPr>
          <w:trHeight w:val="315"/>
        </w:trPr>
        <w:tc>
          <w:tcPr>
            <w:tcW w:w="1650" w:type="dxa"/>
            <w:tcBorders>
              <w:top w:val="nil"/>
              <w:left w:val="nil"/>
              <w:bottom w:val="nil"/>
              <w:right w:val="nil"/>
            </w:tcBorders>
            <w:shd w:val="clear" w:color="auto" w:fill="auto"/>
            <w:noWrap/>
            <w:vAlign w:val="center"/>
            <w:hideMark/>
          </w:tcPr>
          <w:p w14:paraId="333CAC2B" w14:textId="77777777" w:rsidR="00EF3714" w:rsidRPr="00EF3714" w:rsidRDefault="00EF3714" w:rsidP="00EF3714">
            <w:pPr>
              <w:spacing w:after="0" w:line="240" w:lineRule="auto"/>
              <w:jc w:val="left"/>
              <w:rPr>
                <w:color w:val="000000"/>
              </w:rPr>
            </w:pPr>
            <w:r w:rsidRPr="00EF3714">
              <w:rPr>
                <w:color w:val="000000"/>
              </w:rPr>
              <w:t>Israel</w:t>
            </w:r>
          </w:p>
        </w:tc>
        <w:tc>
          <w:tcPr>
            <w:tcW w:w="963" w:type="dxa"/>
            <w:tcBorders>
              <w:top w:val="nil"/>
              <w:left w:val="nil"/>
              <w:bottom w:val="nil"/>
              <w:right w:val="nil"/>
            </w:tcBorders>
            <w:shd w:val="clear" w:color="auto" w:fill="auto"/>
            <w:noWrap/>
            <w:vAlign w:val="center"/>
            <w:hideMark/>
          </w:tcPr>
          <w:p w14:paraId="39A5AEE2" w14:textId="77777777" w:rsidR="00EF3714" w:rsidRPr="00EF3714" w:rsidRDefault="00EF3714" w:rsidP="00EF3714">
            <w:pPr>
              <w:spacing w:after="0" w:line="240" w:lineRule="auto"/>
              <w:rPr>
                <w:color w:val="000000"/>
              </w:rPr>
            </w:pPr>
            <w:r w:rsidRPr="00EF3714">
              <w:rPr>
                <w:color w:val="000000"/>
              </w:rPr>
              <w:t>.52</w:t>
            </w:r>
          </w:p>
        </w:tc>
        <w:tc>
          <w:tcPr>
            <w:tcW w:w="963" w:type="dxa"/>
            <w:tcBorders>
              <w:top w:val="nil"/>
              <w:left w:val="nil"/>
              <w:bottom w:val="nil"/>
              <w:right w:val="nil"/>
            </w:tcBorders>
            <w:shd w:val="clear" w:color="auto" w:fill="auto"/>
            <w:noWrap/>
            <w:vAlign w:val="center"/>
            <w:hideMark/>
          </w:tcPr>
          <w:p w14:paraId="2432F5F6" w14:textId="77777777" w:rsidR="00EF3714" w:rsidRPr="00EF3714" w:rsidRDefault="00EF3714" w:rsidP="00EF3714">
            <w:pPr>
              <w:spacing w:after="0" w:line="240" w:lineRule="auto"/>
              <w:rPr>
                <w:color w:val="000000"/>
              </w:rPr>
            </w:pPr>
            <w:r w:rsidRPr="00EF3714">
              <w:rPr>
                <w:color w:val="000000"/>
              </w:rPr>
              <w:t>.77</w:t>
            </w:r>
          </w:p>
        </w:tc>
        <w:tc>
          <w:tcPr>
            <w:tcW w:w="963" w:type="dxa"/>
            <w:tcBorders>
              <w:top w:val="nil"/>
              <w:left w:val="nil"/>
              <w:bottom w:val="nil"/>
              <w:right w:val="nil"/>
            </w:tcBorders>
            <w:shd w:val="clear" w:color="auto" w:fill="auto"/>
            <w:noWrap/>
            <w:vAlign w:val="center"/>
            <w:hideMark/>
          </w:tcPr>
          <w:p w14:paraId="52129A62" w14:textId="77777777" w:rsidR="00EF3714" w:rsidRPr="00EF3714" w:rsidRDefault="00EF3714" w:rsidP="00EF3714">
            <w:pPr>
              <w:spacing w:after="0" w:line="240" w:lineRule="auto"/>
              <w:rPr>
                <w:color w:val="000000"/>
              </w:rPr>
            </w:pPr>
            <w:r w:rsidRPr="00EF3714">
              <w:rPr>
                <w:color w:val="000000"/>
              </w:rPr>
              <w:t>.65</w:t>
            </w:r>
          </w:p>
        </w:tc>
        <w:tc>
          <w:tcPr>
            <w:tcW w:w="963" w:type="dxa"/>
            <w:tcBorders>
              <w:top w:val="nil"/>
              <w:left w:val="nil"/>
              <w:bottom w:val="nil"/>
              <w:right w:val="nil"/>
            </w:tcBorders>
            <w:shd w:val="clear" w:color="auto" w:fill="auto"/>
            <w:noWrap/>
            <w:vAlign w:val="center"/>
            <w:hideMark/>
          </w:tcPr>
          <w:p w14:paraId="2EB98E66" w14:textId="77777777" w:rsidR="00EF3714" w:rsidRPr="00EF3714" w:rsidRDefault="00EF3714" w:rsidP="00EF3714">
            <w:pPr>
              <w:spacing w:after="0" w:line="240" w:lineRule="auto"/>
              <w:rPr>
                <w:color w:val="000000"/>
              </w:rPr>
            </w:pPr>
            <w:r w:rsidRPr="00EF3714">
              <w:rPr>
                <w:color w:val="000000"/>
              </w:rPr>
              <w:t>.34</w:t>
            </w:r>
          </w:p>
        </w:tc>
        <w:tc>
          <w:tcPr>
            <w:tcW w:w="963" w:type="dxa"/>
            <w:tcBorders>
              <w:top w:val="nil"/>
              <w:left w:val="nil"/>
              <w:bottom w:val="nil"/>
              <w:right w:val="nil"/>
            </w:tcBorders>
            <w:shd w:val="clear" w:color="auto" w:fill="auto"/>
            <w:noWrap/>
            <w:vAlign w:val="center"/>
            <w:hideMark/>
          </w:tcPr>
          <w:p w14:paraId="1F98AF01"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3F7E8BEF"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74CB301B" w14:textId="77777777" w:rsidR="00EF3714" w:rsidRPr="00EF3714" w:rsidRDefault="00EF3714" w:rsidP="00EF3714">
            <w:pPr>
              <w:spacing w:after="0" w:line="240" w:lineRule="auto"/>
              <w:rPr>
                <w:color w:val="000000"/>
              </w:rPr>
            </w:pPr>
            <w:r w:rsidRPr="00EF3714">
              <w:rPr>
                <w:color w:val="000000"/>
              </w:rPr>
              <w:t>.76</w:t>
            </w:r>
          </w:p>
        </w:tc>
        <w:tc>
          <w:tcPr>
            <w:tcW w:w="963" w:type="dxa"/>
            <w:tcBorders>
              <w:top w:val="nil"/>
              <w:left w:val="nil"/>
              <w:bottom w:val="nil"/>
              <w:right w:val="nil"/>
            </w:tcBorders>
            <w:shd w:val="clear" w:color="auto" w:fill="auto"/>
            <w:noWrap/>
            <w:vAlign w:val="center"/>
            <w:hideMark/>
          </w:tcPr>
          <w:p w14:paraId="3201654F" w14:textId="77777777" w:rsidR="00EF3714" w:rsidRPr="00EF3714" w:rsidRDefault="00EF3714" w:rsidP="00EF3714">
            <w:pPr>
              <w:spacing w:after="0" w:line="240" w:lineRule="auto"/>
              <w:rPr>
                <w:color w:val="000000"/>
              </w:rPr>
            </w:pPr>
            <w:r w:rsidRPr="00EF3714">
              <w:rPr>
                <w:color w:val="000000"/>
              </w:rPr>
              <w:t>.67</w:t>
            </w:r>
          </w:p>
        </w:tc>
        <w:tc>
          <w:tcPr>
            <w:tcW w:w="963" w:type="dxa"/>
            <w:tcBorders>
              <w:top w:val="nil"/>
              <w:left w:val="nil"/>
              <w:bottom w:val="nil"/>
              <w:right w:val="nil"/>
            </w:tcBorders>
            <w:shd w:val="clear" w:color="auto" w:fill="auto"/>
            <w:noWrap/>
            <w:vAlign w:val="center"/>
            <w:hideMark/>
          </w:tcPr>
          <w:p w14:paraId="7A9857F2" w14:textId="77777777" w:rsidR="00EF3714" w:rsidRPr="00EF3714" w:rsidRDefault="00EF3714" w:rsidP="00EF3714">
            <w:pPr>
              <w:spacing w:after="0" w:line="240" w:lineRule="auto"/>
              <w:rPr>
                <w:color w:val="000000"/>
              </w:rPr>
            </w:pPr>
            <w:r w:rsidRPr="00EF3714">
              <w:rPr>
                <w:color w:val="000000"/>
              </w:rPr>
              <w:t>.42</w:t>
            </w:r>
          </w:p>
        </w:tc>
        <w:tc>
          <w:tcPr>
            <w:tcW w:w="1257" w:type="dxa"/>
            <w:tcBorders>
              <w:top w:val="nil"/>
              <w:left w:val="nil"/>
              <w:bottom w:val="nil"/>
              <w:right w:val="nil"/>
            </w:tcBorders>
            <w:shd w:val="clear" w:color="auto" w:fill="auto"/>
            <w:noWrap/>
            <w:vAlign w:val="center"/>
            <w:hideMark/>
          </w:tcPr>
          <w:p w14:paraId="4172CD5C" w14:textId="77777777" w:rsidR="00EF3714" w:rsidRPr="00EF3714" w:rsidRDefault="00EF3714" w:rsidP="00EF3714">
            <w:pPr>
              <w:spacing w:after="0" w:line="240" w:lineRule="auto"/>
              <w:rPr>
                <w:color w:val="000000"/>
              </w:rPr>
            </w:pPr>
            <w:r w:rsidRPr="00EF3714">
              <w:rPr>
                <w:color w:val="000000"/>
              </w:rPr>
              <w:t>.52</w:t>
            </w:r>
          </w:p>
        </w:tc>
      </w:tr>
      <w:tr w:rsidR="00EF3714" w:rsidRPr="00EF3714" w14:paraId="20A67EB0" w14:textId="77777777" w:rsidTr="00EF3714">
        <w:trPr>
          <w:trHeight w:val="315"/>
        </w:trPr>
        <w:tc>
          <w:tcPr>
            <w:tcW w:w="1650" w:type="dxa"/>
            <w:tcBorders>
              <w:top w:val="nil"/>
              <w:left w:val="nil"/>
              <w:bottom w:val="nil"/>
              <w:right w:val="nil"/>
            </w:tcBorders>
            <w:shd w:val="clear" w:color="auto" w:fill="auto"/>
            <w:noWrap/>
            <w:vAlign w:val="center"/>
            <w:hideMark/>
          </w:tcPr>
          <w:p w14:paraId="7DF69914" w14:textId="77777777" w:rsidR="00EF3714" w:rsidRPr="00EF3714" w:rsidRDefault="00EF3714" w:rsidP="00EF3714">
            <w:pPr>
              <w:spacing w:after="0" w:line="240" w:lineRule="auto"/>
              <w:jc w:val="left"/>
              <w:rPr>
                <w:color w:val="000000"/>
              </w:rPr>
            </w:pPr>
            <w:r w:rsidRPr="00EF3714">
              <w:rPr>
                <w:color w:val="000000"/>
              </w:rPr>
              <w:lastRenderedPageBreak/>
              <w:t>Italy</w:t>
            </w:r>
          </w:p>
        </w:tc>
        <w:tc>
          <w:tcPr>
            <w:tcW w:w="963" w:type="dxa"/>
            <w:tcBorders>
              <w:top w:val="nil"/>
              <w:left w:val="nil"/>
              <w:bottom w:val="nil"/>
              <w:right w:val="nil"/>
            </w:tcBorders>
            <w:shd w:val="clear" w:color="auto" w:fill="auto"/>
            <w:noWrap/>
            <w:vAlign w:val="center"/>
            <w:hideMark/>
          </w:tcPr>
          <w:p w14:paraId="785B9B0F"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6D5885F5"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7817FD6A"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4B61BDA0" w14:textId="77777777" w:rsidR="00EF3714" w:rsidRPr="00EF3714" w:rsidRDefault="00EF3714" w:rsidP="00EF3714">
            <w:pPr>
              <w:spacing w:after="0" w:line="240" w:lineRule="auto"/>
              <w:rPr>
                <w:color w:val="000000"/>
              </w:rPr>
            </w:pPr>
            <w:r w:rsidRPr="00EF3714">
              <w:rPr>
                <w:color w:val="000000"/>
              </w:rPr>
              <w:t>.01</w:t>
            </w:r>
          </w:p>
        </w:tc>
        <w:tc>
          <w:tcPr>
            <w:tcW w:w="963" w:type="dxa"/>
            <w:tcBorders>
              <w:top w:val="nil"/>
              <w:left w:val="nil"/>
              <w:bottom w:val="nil"/>
              <w:right w:val="nil"/>
            </w:tcBorders>
            <w:shd w:val="clear" w:color="auto" w:fill="auto"/>
            <w:noWrap/>
            <w:vAlign w:val="center"/>
            <w:hideMark/>
          </w:tcPr>
          <w:p w14:paraId="7FB46F2C"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4819F933" w14:textId="77777777" w:rsidR="00EF3714" w:rsidRPr="00EF3714" w:rsidRDefault="00EF3714" w:rsidP="00EF3714">
            <w:pPr>
              <w:spacing w:after="0" w:line="240" w:lineRule="auto"/>
              <w:rPr>
                <w:color w:val="000000"/>
              </w:rPr>
            </w:pPr>
            <w:r w:rsidRPr="00EF3714">
              <w:rPr>
                <w:color w:val="000000"/>
              </w:rPr>
              <w:t>.14</w:t>
            </w:r>
          </w:p>
        </w:tc>
        <w:tc>
          <w:tcPr>
            <w:tcW w:w="963" w:type="dxa"/>
            <w:tcBorders>
              <w:top w:val="nil"/>
              <w:left w:val="nil"/>
              <w:bottom w:val="nil"/>
              <w:right w:val="nil"/>
            </w:tcBorders>
            <w:shd w:val="clear" w:color="auto" w:fill="auto"/>
            <w:noWrap/>
            <w:vAlign w:val="center"/>
            <w:hideMark/>
          </w:tcPr>
          <w:p w14:paraId="2779EA14"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nil"/>
              <w:right w:val="nil"/>
            </w:tcBorders>
            <w:shd w:val="clear" w:color="auto" w:fill="auto"/>
            <w:noWrap/>
            <w:vAlign w:val="center"/>
            <w:hideMark/>
          </w:tcPr>
          <w:p w14:paraId="0B15BEDC"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5C47BD3C" w14:textId="77777777" w:rsidR="00EF3714" w:rsidRPr="00EF3714" w:rsidRDefault="00EF3714" w:rsidP="00EF3714">
            <w:pPr>
              <w:spacing w:after="0" w:line="240" w:lineRule="auto"/>
              <w:rPr>
                <w:color w:val="000000"/>
              </w:rPr>
            </w:pPr>
            <w:r w:rsidRPr="00EF3714">
              <w:rPr>
                <w:color w:val="000000"/>
              </w:rPr>
              <w:t>.52</w:t>
            </w:r>
          </w:p>
        </w:tc>
        <w:tc>
          <w:tcPr>
            <w:tcW w:w="1257" w:type="dxa"/>
            <w:tcBorders>
              <w:top w:val="nil"/>
              <w:left w:val="nil"/>
              <w:bottom w:val="nil"/>
              <w:right w:val="nil"/>
            </w:tcBorders>
            <w:shd w:val="clear" w:color="auto" w:fill="auto"/>
            <w:noWrap/>
            <w:vAlign w:val="center"/>
            <w:hideMark/>
          </w:tcPr>
          <w:p w14:paraId="4733934B"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3CC02F91" w14:textId="77777777" w:rsidTr="00EF3714">
        <w:trPr>
          <w:trHeight w:val="315"/>
        </w:trPr>
        <w:tc>
          <w:tcPr>
            <w:tcW w:w="1650" w:type="dxa"/>
            <w:tcBorders>
              <w:top w:val="nil"/>
              <w:left w:val="nil"/>
              <w:bottom w:val="nil"/>
              <w:right w:val="nil"/>
            </w:tcBorders>
            <w:shd w:val="clear" w:color="auto" w:fill="auto"/>
            <w:noWrap/>
            <w:vAlign w:val="center"/>
            <w:hideMark/>
          </w:tcPr>
          <w:p w14:paraId="2E56E2A1" w14:textId="77777777" w:rsidR="00EF3714" w:rsidRPr="00EF3714" w:rsidRDefault="00EF3714" w:rsidP="00EF3714">
            <w:pPr>
              <w:spacing w:after="0" w:line="240" w:lineRule="auto"/>
              <w:jc w:val="left"/>
              <w:rPr>
                <w:color w:val="000000"/>
              </w:rPr>
            </w:pPr>
            <w:r w:rsidRPr="00EF3714">
              <w:rPr>
                <w:color w:val="000000"/>
              </w:rPr>
              <w:t>Japan</w:t>
            </w:r>
          </w:p>
        </w:tc>
        <w:tc>
          <w:tcPr>
            <w:tcW w:w="963" w:type="dxa"/>
            <w:tcBorders>
              <w:top w:val="nil"/>
              <w:left w:val="nil"/>
              <w:bottom w:val="nil"/>
              <w:right w:val="nil"/>
            </w:tcBorders>
            <w:shd w:val="clear" w:color="auto" w:fill="auto"/>
            <w:noWrap/>
            <w:vAlign w:val="center"/>
            <w:hideMark/>
          </w:tcPr>
          <w:p w14:paraId="56411946"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1A7363A8" w14:textId="77777777" w:rsidR="00EF3714" w:rsidRPr="00EF3714" w:rsidRDefault="00EF3714" w:rsidP="00EF3714">
            <w:pPr>
              <w:spacing w:after="0" w:line="240" w:lineRule="auto"/>
              <w:rPr>
                <w:color w:val="000000"/>
              </w:rPr>
            </w:pPr>
            <w:r w:rsidRPr="00EF3714">
              <w:rPr>
                <w:color w:val="000000"/>
              </w:rPr>
              <w:t>.51</w:t>
            </w:r>
          </w:p>
        </w:tc>
        <w:tc>
          <w:tcPr>
            <w:tcW w:w="963" w:type="dxa"/>
            <w:tcBorders>
              <w:top w:val="nil"/>
              <w:left w:val="nil"/>
              <w:bottom w:val="nil"/>
              <w:right w:val="nil"/>
            </w:tcBorders>
            <w:shd w:val="clear" w:color="auto" w:fill="auto"/>
            <w:noWrap/>
            <w:vAlign w:val="center"/>
            <w:hideMark/>
          </w:tcPr>
          <w:p w14:paraId="57C2D39C"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683CEE9F"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049B39A2"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51FEB698" w14:textId="77777777" w:rsidR="00EF3714" w:rsidRPr="00EF3714" w:rsidRDefault="00EF3714" w:rsidP="00EF3714">
            <w:pPr>
              <w:spacing w:after="0" w:line="240" w:lineRule="auto"/>
              <w:rPr>
                <w:color w:val="000000"/>
              </w:rPr>
            </w:pPr>
            <w:r w:rsidRPr="00EF3714">
              <w:rPr>
                <w:color w:val="000000"/>
              </w:rPr>
              <w:t>.19</w:t>
            </w:r>
          </w:p>
        </w:tc>
        <w:tc>
          <w:tcPr>
            <w:tcW w:w="963" w:type="dxa"/>
            <w:tcBorders>
              <w:top w:val="nil"/>
              <w:left w:val="nil"/>
              <w:bottom w:val="nil"/>
              <w:right w:val="nil"/>
            </w:tcBorders>
            <w:shd w:val="clear" w:color="auto" w:fill="auto"/>
            <w:noWrap/>
            <w:vAlign w:val="center"/>
            <w:hideMark/>
          </w:tcPr>
          <w:p w14:paraId="33AFCEA5" w14:textId="77777777" w:rsidR="00EF3714" w:rsidRPr="00EF3714" w:rsidRDefault="00EF3714" w:rsidP="00EF3714">
            <w:pPr>
              <w:spacing w:after="0" w:line="240" w:lineRule="auto"/>
              <w:rPr>
                <w:color w:val="000000"/>
              </w:rPr>
            </w:pPr>
            <w:r w:rsidRPr="00EF3714">
              <w:rPr>
                <w:color w:val="000000"/>
              </w:rPr>
              <w:t>.63</w:t>
            </w:r>
          </w:p>
        </w:tc>
        <w:tc>
          <w:tcPr>
            <w:tcW w:w="963" w:type="dxa"/>
            <w:tcBorders>
              <w:top w:val="nil"/>
              <w:left w:val="nil"/>
              <w:bottom w:val="nil"/>
              <w:right w:val="nil"/>
            </w:tcBorders>
            <w:shd w:val="clear" w:color="auto" w:fill="auto"/>
            <w:noWrap/>
            <w:vAlign w:val="center"/>
            <w:hideMark/>
          </w:tcPr>
          <w:p w14:paraId="7A975938" w14:textId="77777777" w:rsidR="00EF3714" w:rsidRPr="00EF3714" w:rsidRDefault="00EF3714" w:rsidP="00EF3714">
            <w:pPr>
              <w:spacing w:after="0" w:line="240" w:lineRule="auto"/>
              <w:rPr>
                <w:color w:val="000000"/>
              </w:rPr>
            </w:pPr>
            <w:r w:rsidRPr="00EF3714">
              <w:rPr>
                <w:color w:val="000000"/>
              </w:rPr>
              <w:t>.52</w:t>
            </w:r>
          </w:p>
        </w:tc>
        <w:tc>
          <w:tcPr>
            <w:tcW w:w="963" w:type="dxa"/>
            <w:tcBorders>
              <w:top w:val="nil"/>
              <w:left w:val="nil"/>
              <w:bottom w:val="nil"/>
              <w:right w:val="nil"/>
            </w:tcBorders>
            <w:shd w:val="clear" w:color="auto" w:fill="auto"/>
            <w:noWrap/>
            <w:vAlign w:val="center"/>
            <w:hideMark/>
          </w:tcPr>
          <w:p w14:paraId="1B46ABE9" w14:textId="77777777" w:rsidR="00EF3714" w:rsidRPr="00EF3714" w:rsidRDefault="00EF3714" w:rsidP="00EF3714">
            <w:pPr>
              <w:spacing w:after="0" w:line="240" w:lineRule="auto"/>
              <w:rPr>
                <w:color w:val="000000"/>
              </w:rPr>
            </w:pPr>
            <w:r w:rsidRPr="00EF3714">
              <w:rPr>
                <w:color w:val="000000"/>
              </w:rPr>
              <w:t>.53</w:t>
            </w:r>
          </w:p>
        </w:tc>
        <w:tc>
          <w:tcPr>
            <w:tcW w:w="1257" w:type="dxa"/>
            <w:tcBorders>
              <w:top w:val="nil"/>
              <w:left w:val="nil"/>
              <w:bottom w:val="nil"/>
              <w:right w:val="nil"/>
            </w:tcBorders>
            <w:shd w:val="clear" w:color="auto" w:fill="auto"/>
            <w:noWrap/>
            <w:vAlign w:val="center"/>
            <w:hideMark/>
          </w:tcPr>
          <w:p w14:paraId="013DD926" w14:textId="77777777" w:rsidR="00EF3714" w:rsidRPr="00EF3714" w:rsidRDefault="00EF3714" w:rsidP="00EF3714">
            <w:pPr>
              <w:spacing w:after="0" w:line="240" w:lineRule="auto"/>
              <w:rPr>
                <w:color w:val="000000"/>
              </w:rPr>
            </w:pPr>
            <w:r w:rsidRPr="00EF3714">
              <w:rPr>
                <w:color w:val="000000"/>
              </w:rPr>
              <w:t>.48</w:t>
            </w:r>
          </w:p>
        </w:tc>
      </w:tr>
      <w:tr w:rsidR="00EF3714" w:rsidRPr="00EF3714" w14:paraId="762C490F" w14:textId="77777777" w:rsidTr="00EF3714">
        <w:trPr>
          <w:trHeight w:val="315"/>
        </w:trPr>
        <w:tc>
          <w:tcPr>
            <w:tcW w:w="1650" w:type="dxa"/>
            <w:tcBorders>
              <w:top w:val="nil"/>
              <w:left w:val="nil"/>
              <w:bottom w:val="nil"/>
              <w:right w:val="nil"/>
            </w:tcBorders>
            <w:shd w:val="clear" w:color="auto" w:fill="auto"/>
            <w:noWrap/>
            <w:vAlign w:val="center"/>
            <w:hideMark/>
          </w:tcPr>
          <w:p w14:paraId="33EDA053" w14:textId="77777777" w:rsidR="00EF3714" w:rsidRPr="00EF3714" w:rsidRDefault="00EF3714" w:rsidP="00EF3714">
            <w:pPr>
              <w:spacing w:after="0" w:line="240" w:lineRule="auto"/>
              <w:jc w:val="left"/>
              <w:rPr>
                <w:color w:val="000000"/>
              </w:rPr>
            </w:pPr>
            <w:r w:rsidRPr="00EF3714">
              <w:rPr>
                <w:color w:val="000000"/>
              </w:rPr>
              <w:t>Jordan</w:t>
            </w:r>
          </w:p>
        </w:tc>
        <w:tc>
          <w:tcPr>
            <w:tcW w:w="963" w:type="dxa"/>
            <w:tcBorders>
              <w:top w:val="nil"/>
              <w:left w:val="nil"/>
              <w:bottom w:val="nil"/>
              <w:right w:val="nil"/>
            </w:tcBorders>
            <w:shd w:val="clear" w:color="auto" w:fill="auto"/>
            <w:noWrap/>
            <w:vAlign w:val="center"/>
            <w:hideMark/>
          </w:tcPr>
          <w:p w14:paraId="3E2C5C81"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46E59E39"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71F3D6FB"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nil"/>
              <w:right w:val="nil"/>
            </w:tcBorders>
            <w:shd w:val="clear" w:color="auto" w:fill="auto"/>
            <w:noWrap/>
            <w:vAlign w:val="center"/>
            <w:hideMark/>
          </w:tcPr>
          <w:p w14:paraId="328B5910" w14:textId="77777777" w:rsidR="00EF3714" w:rsidRPr="00EF3714" w:rsidRDefault="00EF3714" w:rsidP="00EF3714">
            <w:pPr>
              <w:spacing w:after="0" w:line="240" w:lineRule="auto"/>
              <w:rPr>
                <w:color w:val="000000"/>
              </w:rPr>
            </w:pPr>
            <w:r w:rsidRPr="00EF3714">
              <w:rPr>
                <w:color w:val="000000"/>
              </w:rPr>
              <w:t>.51</w:t>
            </w:r>
          </w:p>
        </w:tc>
        <w:tc>
          <w:tcPr>
            <w:tcW w:w="963" w:type="dxa"/>
            <w:tcBorders>
              <w:top w:val="nil"/>
              <w:left w:val="nil"/>
              <w:bottom w:val="nil"/>
              <w:right w:val="nil"/>
            </w:tcBorders>
            <w:shd w:val="clear" w:color="auto" w:fill="auto"/>
            <w:noWrap/>
            <w:vAlign w:val="center"/>
            <w:hideMark/>
          </w:tcPr>
          <w:p w14:paraId="26E49AA6"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2B0D91FF"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42A6A640"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0E44AB16"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7B64298E" w14:textId="77777777" w:rsidR="00EF3714" w:rsidRPr="00EF3714" w:rsidRDefault="00EF3714" w:rsidP="00EF3714">
            <w:pPr>
              <w:spacing w:after="0" w:line="240" w:lineRule="auto"/>
              <w:rPr>
                <w:color w:val="000000"/>
              </w:rPr>
            </w:pPr>
            <w:r w:rsidRPr="00EF3714">
              <w:rPr>
                <w:color w:val="000000"/>
              </w:rPr>
              <w:t>.61</w:t>
            </w:r>
          </w:p>
        </w:tc>
        <w:tc>
          <w:tcPr>
            <w:tcW w:w="1257" w:type="dxa"/>
            <w:tcBorders>
              <w:top w:val="nil"/>
              <w:left w:val="nil"/>
              <w:bottom w:val="nil"/>
              <w:right w:val="nil"/>
            </w:tcBorders>
            <w:shd w:val="clear" w:color="auto" w:fill="auto"/>
            <w:noWrap/>
            <w:vAlign w:val="center"/>
            <w:hideMark/>
          </w:tcPr>
          <w:p w14:paraId="4C9B2020" w14:textId="77777777" w:rsidR="00EF3714" w:rsidRPr="00EF3714" w:rsidRDefault="00EF3714" w:rsidP="00EF3714">
            <w:pPr>
              <w:spacing w:after="0" w:line="240" w:lineRule="auto"/>
              <w:rPr>
                <w:color w:val="000000"/>
              </w:rPr>
            </w:pPr>
            <w:r w:rsidRPr="00EF3714">
              <w:rPr>
                <w:color w:val="000000"/>
              </w:rPr>
              <w:t>.57</w:t>
            </w:r>
          </w:p>
        </w:tc>
      </w:tr>
      <w:tr w:rsidR="00EF3714" w:rsidRPr="00EF3714" w14:paraId="4BB8493B" w14:textId="77777777" w:rsidTr="00EF3714">
        <w:trPr>
          <w:trHeight w:val="315"/>
        </w:trPr>
        <w:tc>
          <w:tcPr>
            <w:tcW w:w="1650" w:type="dxa"/>
            <w:tcBorders>
              <w:top w:val="nil"/>
              <w:left w:val="nil"/>
              <w:bottom w:val="nil"/>
              <w:right w:val="nil"/>
            </w:tcBorders>
            <w:shd w:val="clear" w:color="auto" w:fill="auto"/>
            <w:noWrap/>
            <w:vAlign w:val="center"/>
            <w:hideMark/>
          </w:tcPr>
          <w:p w14:paraId="1BFBB1B2" w14:textId="77777777" w:rsidR="00EF3714" w:rsidRPr="00EF3714" w:rsidRDefault="00EF3714" w:rsidP="00EF3714">
            <w:pPr>
              <w:spacing w:after="0" w:line="240" w:lineRule="auto"/>
              <w:jc w:val="left"/>
              <w:rPr>
                <w:color w:val="000000"/>
              </w:rPr>
            </w:pPr>
            <w:r w:rsidRPr="00EF3714">
              <w:rPr>
                <w:color w:val="000000"/>
              </w:rPr>
              <w:t>Kenya</w:t>
            </w:r>
          </w:p>
        </w:tc>
        <w:tc>
          <w:tcPr>
            <w:tcW w:w="963" w:type="dxa"/>
            <w:tcBorders>
              <w:top w:val="nil"/>
              <w:left w:val="nil"/>
              <w:bottom w:val="nil"/>
              <w:right w:val="nil"/>
            </w:tcBorders>
            <w:shd w:val="clear" w:color="auto" w:fill="auto"/>
            <w:noWrap/>
            <w:vAlign w:val="center"/>
            <w:hideMark/>
          </w:tcPr>
          <w:p w14:paraId="21DCCD36" w14:textId="77777777" w:rsidR="00EF3714" w:rsidRPr="00EF3714" w:rsidRDefault="00EF3714" w:rsidP="00EF3714">
            <w:pPr>
              <w:spacing w:after="0" w:line="240" w:lineRule="auto"/>
              <w:rPr>
                <w:color w:val="000000"/>
              </w:rPr>
            </w:pPr>
            <w:r w:rsidRPr="00EF3714">
              <w:rPr>
                <w:color w:val="000000"/>
              </w:rPr>
              <w:t>.31</w:t>
            </w:r>
          </w:p>
        </w:tc>
        <w:tc>
          <w:tcPr>
            <w:tcW w:w="963" w:type="dxa"/>
            <w:tcBorders>
              <w:top w:val="nil"/>
              <w:left w:val="nil"/>
              <w:bottom w:val="nil"/>
              <w:right w:val="nil"/>
            </w:tcBorders>
            <w:shd w:val="clear" w:color="auto" w:fill="auto"/>
            <w:noWrap/>
            <w:vAlign w:val="center"/>
            <w:hideMark/>
          </w:tcPr>
          <w:p w14:paraId="2EB95866"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17811B59"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4F02D416"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3A8F3705"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233E8B4B"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317272DF"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0EAD9873"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34BE3989" w14:textId="77777777" w:rsidR="00EF3714" w:rsidRPr="00EF3714" w:rsidRDefault="00EF3714" w:rsidP="00EF3714">
            <w:pPr>
              <w:spacing w:after="0" w:line="240" w:lineRule="auto"/>
              <w:rPr>
                <w:color w:val="000000"/>
              </w:rPr>
            </w:pPr>
            <w:r w:rsidRPr="00EF3714">
              <w:rPr>
                <w:color w:val="000000"/>
              </w:rPr>
              <w:t>.56</w:t>
            </w:r>
          </w:p>
        </w:tc>
        <w:tc>
          <w:tcPr>
            <w:tcW w:w="1257" w:type="dxa"/>
            <w:tcBorders>
              <w:top w:val="nil"/>
              <w:left w:val="nil"/>
              <w:bottom w:val="nil"/>
              <w:right w:val="nil"/>
            </w:tcBorders>
            <w:shd w:val="clear" w:color="auto" w:fill="auto"/>
            <w:noWrap/>
            <w:vAlign w:val="center"/>
            <w:hideMark/>
          </w:tcPr>
          <w:p w14:paraId="00B21ABC" w14:textId="77777777" w:rsidR="00EF3714" w:rsidRPr="00EF3714" w:rsidRDefault="00EF3714" w:rsidP="00EF3714">
            <w:pPr>
              <w:spacing w:after="0" w:line="240" w:lineRule="auto"/>
              <w:rPr>
                <w:color w:val="000000"/>
              </w:rPr>
            </w:pPr>
            <w:r w:rsidRPr="00EF3714">
              <w:rPr>
                <w:color w:val="000000"/>
              </w:rPr>
              <w:t>.50</w:t>
            </w:r>
          </w:p>
        </w:tc>
      </w:tr>
      <w:tr w:rsidR="00EF3714" w:rsidRPr="00EF3714" w14:paraId="5B13F56A" w14:textId="77777777" w:rsidTr="00EF3714">
        <w:trPr>
          <w:trHeight w:val="315"/>
        </w:trPr>
        <w:tc>
          <w:tcPr>
            <w:tcW w:w="1650" w:type="dxa"/>
            <w:tcBorders>
              <w:top w:val="nil"/>
              <w:left w:val="nil"/>
              <w:bottom w:val="nil"/>
              <w:right w:val="nil"/>
            </w:tcBorders>
            <w:shd w:val="clear" w:color="auto" w:fill="auto"/>
            <w:noWrap/>
            <w:vAlign w:val="center"/>
            <w:hideMark/>
          </w:tcPr>
          <w:p w14:paraId="77DE3958" w14:textId="77777777" w:rsidR="00EF3714" w:rsidRPr="00EF3714" w:rsidRDefault="00EF3714" w:rsidP="00EF3714">
            <w:pPr>
              <w:spacing w:after="0" w:line="240" w:lineRule="auto"/>
              <w:jc w:val="left"/>
              <w:rPr>
                <w:color w:val="000000"/>
              </w:rPr>
            </w:pPr>
            <w:r w:rsidRPr="00EF3714">
              <w:rPr>
                <w:color w:val="000000"/>
              </w:rPr>
              <w:t>Latvia</w:t>
            </w:r>
          </w:p>
        </w:tc>
        <w:tc>
          <w:tcPr>
            <w:tcW w:w="963" w:type="dxa"/>
            <w:tcBorders>
              <w:top w:val="nil"/>
              <w:left w:val="nil"/>
              <w:bottom w:val="nil"/>
              <w:right w:val="nil"/>
            </w:tcBorders>
            <w:shd w:val="clear" w:color="auto" w:fill="auto"/>
            <w:noWrap/>
            <w:vAlign w:val="center"/>
            <w:hideMark/>
          </w:tcPr>
          <w:p w14:paraId="234AD344" w14:textId="77777777" w:rsidR="00EF3714" w:rsidRPr="00EF3714" w:rsidRDefault="00EF3714" w:rsidP="00EF3714">
            <w:pPr>
              <w:spacing w:after="0" w:line="240" w:lineRule="auto"/>
              <w:rPr>
                <w:color w:val="000000"/>
              </w:rPr>
            </w:pPr>
            <w:r w:rsidRPr="00EF3714">
              <w:rPr>
                <w:color w:val="000000"/>
              </w:rPr>
              <w:t>.23</w:t>
            </w:r>
          </w:p>
        </w:tc>
        <w:tc>
          <w:tcPr>
            <w:tcW w:w="963" w:type="dxa"/>
            <w:tcBorders>
              <w:top w:val="nil"/>
              <w:left w:val="nil"/>
              <w:bottom w:val="nil"/>
              <w:right w:val="nil"/>
            </w:tcBorders>
            <w:shd w:val="clear" w:color="auto" w:fill="auto"/>
            <w:noWrap/>
            <w:vAlign w:val="center"/>
            <w:hideMark/>
          </w:tcPr>
          <w:p w14:paraId="08979992" w14:textId="77777777" w:rsidR="00EF3714" w:rsidRPr="00EF3714" w:rsidRDefault="00EF3714" w:rsidP="00EF3714">
            <w:pPr>
              <w:spacing w:after="0" w:line="240" w:lineRule="auto"/>
              <w:rPr>
                <w:color w:val="000000"/>
              </w:rPr>
            </w:pPr>
            <w:r w:rsidRPr="00EF3714">
              <w:rPr>
                <w:color w:val="000000"/>
              </w:rPr>
              <w:t>.13</w:t>
            </w:r>
          </w:p>
        </w:tc>
        <w:tc>
          <w:tcPr>
            <w:tcW w:w="963" w:type="dxa"/>
            <w:tcBorders>
              <w:top w:val="nil"/>
              <w:left w:val="nil"/>
              <w:bottom w:val="nil"/>
              <w:right w:val="nil"/>
            </w:tcBorders>
            <w:shd w:val="clear" w:color="auto" w:fill="auto"/>
            <w:noWrap/>
            <w:vAlign w:val="center"/>
            <w:hideMark/>
          </w:tcPr>
          <w:p w14:paraId="3AEB1C8E"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68B334FF"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nil"/>
              <w:right w:val="nil"/>
            </w:tcBorders>
            <w:shd w:val="clear" w:color="auto" w:fill="auto"/>
            <w:noWrap/>
            <w:vAlign w:val="center"/>
            <w:hideMark/>
          </w:tcPr>
          <w:p w14:paraId="3E050A6E"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626DF819" w14:textId="77777777" w:rsidR="00EF3714" w:rsidRPr="00EF3714" w:rsidRDefault="00EF3714" w:rsidP="00EF3714">
            <w:pPr>
              <w:spacing w:after="0" w:line="240" w:lineRule="auto"/>
              <w:rPr>
                <w:color w:val="000000"/>
              </w:rPr>
            </w:pPr>
            <w:r w:rsidRPr="00EF3714">
              <w:rPr>
                <w:color w:val="000000"/>
              </w:rPr>
              <w:t>.67</w:t>
            </w:r>
          </w:p>
        </w:tc>
        <w:tc>
          <w:tcPr>
            <w:tcW w:w="963" w:type="dxa"/>
            <w:tcBorders>
              <w:top w:val="nil"/>
              <w:left w:val="nil"/>
              <w:bottom w:val="nil"/>
              <w:right w:val="nil"/>
            </w:tcBorders>
            <w:shd w:val="clear" w:color="auto" w:fill="auto"/>
            <w:noWrap/>
            <w:vAlign w:val="center"/>
            <w:hideMark/>
          </w:tcPr>
          <w:p w14:paraId="2FD3C4A1"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nil"/>
              <w:right w:val="nil"/>
            </w:tcBorders>
            <w:shd w:val="clear" w:color="auto" w:fill="auto"/>
            <w:noWrap/>
            <w:vAlign w:val="center"/>
            <w:hideMark/>
          </w:tcPr>
          <w:p w14:paraId="6A2B1D64"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13137B6B" w14:textId="77777777" w:rsidR="00EF3714" w:rsidRPr="00EF3714" w:rsidRDefault="00EF3714" w:rsidP="00EF3714">
            <w:pPr>
              <w:spacing w:after="0" w:line="240" w:lineRule="auto"/>
              <w:rPr>
                <w:color w:val="000000"/>
              </w:rPr>
            </w:pPr>
            <w:r w:rsidRPr="00EF3714">
              <w:rPr>
                <w:color w:val="000000"/>
              </w:rPr>
              <w:t>.79</w:t>
            </w:r>
          </w:p>
        </w:tc>
        <w:tc>
          <w:tcPr>
            <w:tcW w:w="1257" w:type="dxa"/>
            <w:tcBorders>
              <w:top w:val="nil"/>
              <w:left w:val="nil"/>
              <w:bottom w:val="nil"/>
              <w:right w:val="nil"/>
            </w:tcBorders>
            <w:shd w:val="clear" w:color="auto" w:fill="auto"/>
            <w:noWrap/>
            <w:vAlign w:val="center"/>
            <w:hideMark/>
          </w:tcPr>
          <w:p w14:paraId="6D727589" w14:textId="77777777" w:rsidR="00EF3714" w:rsidRPr="00EF3714" w:rsidRDefault="00EF3714" w:rsidP="00EF3714">
            <w:pPr>
              <w:spacing w:after="0" w:line="240" w:lineRule="auto"/>
              <w:rPr>
                <w:color w:val="000000"/>
              </w:rPr>
            </w:pPr>
            <w:r w:rsidRPr="00EF3714">
              <w:rPr>
                <w:color w:val="000000"/>
              </w:rPr>
              <w:t>.50</w:t>
            </w:r>
          </w:p>
        </w:tc>
      </w:tr>
      <w:tr w:rsidR="00EF3714" w:rsidRPr="00EF3714" w14:paraId="2A863276" w14:textId="77777777" w:rsidTr="00EF3714">
        <w:trPr>
          <w:trHeight w:val="315"/>
        </w:trPr>
        <w:tc>
          <w:tcPr>
            <w:tcW w:w="1650" w:type="dxa"/>
            <w:tcBorders>
              <w:top w:val="nil"/>
              <w:left w:val="nil"/>
              <w:bottom w:val="nil"/>
              <w:right w:val="nil"/>
            </w:tcBorders>
            <w:shd w:val="clear" w:color="auto" w:fill="auto"/>
            <w:noWrap/>
            <w:vAlign w:val="center"/>
            <w:hideMark/>
          </w:tcPr>
          <w:p w14:paraId="27BACC09" w14:textId="77777777" w:rsidR="00EF3714" w:rsidRPr="00EF3714" w:rsidRDefault="00EF3714" w:rsidP="00EF3714">
            <w:pPr>
              <w:spacing w:after="0" w:line="240" w:lineRule="auto"/>
              <w:jc w:val="left"/>
              <w:rPr>
                <w:color w:val="000000"/>
              </w:rPr>
            </w:pPr>
            <w:r w:rsidRPr="00EF3714">
              <w:rPr>
                <w:color w:val="000000"/>
              </w:rPr>
              <w:t>Lithuania</w:t>
            </w:r>
          </w:p>
        </w:tc>
        <w:tc>
          <w:tcPr>
            <w:tcW w:w="963" w:type="dxa"/>
            <w:tcBorders>
              <w:top w:val="nil"/>
              <w:left w:val="nil"/>
              <w:bottom w:val="nil"/>
              <w:right w:val="nil"/>
            </w:tcBorders>
            <w:shd w:val="clear" w:color="auto" w:fill="auto"/>
            <w:noWrap/>
            <w:vAlign w:val="center"/>
            <w:hideMark/>
          </w:tcPr>
          <w:p w14:paraId="443237A8"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558DFF52"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4388DE15"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74BC97AE" w14:textId="77777777" w:rsidR="00EF3714" w:rsidRPr="00EF3714" w:rsidRDefault="00EF3714" w:rsidP="00EF3714">
            <w:pPr>
              <w:spacing w:after="0" w:line="240" w:lineRule="auto"/>
              <w:rPr>
                <w:color w:val="000000"/>
              </w:rPr>
            </w:pPr>
            <w:r w:rsidRPr="00EF3714">
              <w:rPr>
                <w:color w:val="000000"/>
              </w:rPr>
              <w:t>.16</w:t>
            </w:r>
          </w:p>
        </w:tc>
        <w:tc>
          <w:tcPr>
            <w:tcW w:w="963" w:type="dxa"/>
            <w:tcBorders>
              <w:top w:val="nil"/>
              <w:left w:val="nil"/>
              <w:bottom w:val="nil"/>
              <w:right w:val="nil"/>
            </w:tcBorders>
            <w:shd w:val="clear" w:color="auto" w:fill="auto"/>
            <w:noWrap/>
            <w:vAlign w:val="center"/>
            <w:hideMark/>
          </w:tcPr>
          <w:p w14:paraId="0213D611"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4E07F45C"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nil"/>
              <w:right w:val="nil"/>
            </w:tcBorders>
            <w:shd w:val="clear" w:color="auto" w:fill="auto"/>
            <w:noWrap/>
            <w:vAlign w:val="center"/>
            <w:hideMark/>
          </w:tcPr>
          <w:p w14:paraId="22365161"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18DCCC8F"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69A04703" w14:textId="77777777" w:rsidR="00EF3714" w:rsidRPr="00EF3714" w:rsidRDefault="00EF3714" w:rsidP="00EF3714">
            <w:pPr>
              <w:spacing w:after="0" w:line="240" w:lineRule="auto"/>
              <w:rPr>
                <w:color w:val="000000"/>
              </w:rPr>
            </w:pPr>
            <w:r w:rsidRPr="00EF3714">
              <w:rPr>
                <w:color w:val="000000"/>
              </w:rPr>
              <w:t>.77</w:t>
            </w:r>
          </w:p>
        </w:tc>
        <w:tc>
          <w:tcPr>
            <w:tcW w:w="1257" w:type="dxa"/>
            <w:tcBorders>
              <w:top w:val="nil"/>
              <w:left w:val="nil"/>
              <w:bottom w:val="nil"/>
              <w:right w:val="nil"/>
            </w:tcBorders>
            <w:shd w:val="clear" w:color="auto" w:fill="auto"/>
            <w:noWrap/>
            <w:vAlign w:val="center"/>
            <w:hideMark/>
          </w:tcPr>
          <w:p w14:paraId="44D13FB7" w14:textId="77777777" w:rsidR="00EF3714" w:rsidRPr="00EF3714" w:rsidRDefault="00EF3714" w:rsidP="00EF3714">
            <w:pPr>
              <w:spacing w:after="0" w:line="240" w:lineRule="auto"/>
              <w:rPr>
                <w:color w:val="000000"/>
              </w:rPr>
            </w:pPr>
            <w:r w:rsidRPr="00EF3714">
              <w:rPr>
                <w:color w:val="000000"/>
              </w:rPr>
              <w:t>.50</w:t>
            </w:r>
          </w:p>
        </w:tc>
      </w:tr>
      <w:tr w:rsidR="00EF3714" w:rsidRPr="00EF3714" w14:paraId="30EA596C" w14:textId="77777777" w:rsidTr="00EF3714">
        <w:trPr>
          <w:trHeight w:val="315"/>
        </w:trPr>
        <w:tc>
          <w:tcPr>
            <w:tcW w:w="1650" w:type="dxa"/>
            <w:tcBorders>
              <w:top w:val="nil"/>
              <w:left w:val="nil"/>
              <w:bottom w:val="nil"/>
              <w:right w:val="nil"/>
            </w:tcBorders>
            <w:shd w:val="clear" w:color="auto" w:fill="auto"/>
            <w:noWrap/>
            <w:vAlign w:val="center"/>
            <w:hideMark/>
          </w:tcPr>
          <w:p w14:paraId="794AB0AE" w14:textId="77777777" w:rsidR="00EF3714" w:rsidRPr="00EF3714" w:rsidRDefault="00EF3714" w:rsidP="00EF3714">
            <w:pPr>
              <w:spacing w:after="0" w:line="240" w:lineRule="auto"/>
              <w:jc w:val="left"/>
              <w:rPr>
                <w:color w:val="000000"/>
              </w:rPr>
            </w:pPr>
            <w:r w:rsidRPr="00EF3714">
              <w:rPr>
                <w:color w:val="000000"/>
              </w:rPr>
              <w:t>Macedonia</w:t>
            </w:r>
          </w:p>
        </w:tc>
        <w:tc>
          <w:tcPr>
            <w:tcW w:w="963" w:type="dxa"/>
            <w:tcBorders>
              <w:top w:val="nil"/>
              <w:left w:val="nil"/>
              <w:bottom w:val="nil"/>
              <w:right w:val="nil"/>
            </w:tcBorders>
            <w:shd w:val="clear" w:color="auto" w:fill="auto"/>
            <w:noWrap/>
            <w:vAlign w:val="center"/>
            <w:hideMark/>
          </w:tcPr>
          <w:p w14:paraId="4168FEEB" w14:textId="77777777" w:rsidR="00EF3714" w:rsidRPr="00EF3714" w:rsidRDefault="00EF3714" w:rsidP="00EF3714">
            <w:pPr>
              <w:spacing w:after="0" w:line="240" w:lineRule="auto"/>
              <w:rPr>
                <w:color w:val="000000"/>
              </w:rPr>
            </w:pPr>
            <w:r w:rsidRPr="00EF3714">
              <w:rPr>
                <w:color w:val="000000"/>
              </w:rPr>
              <w:t>1.01</w:t>
            </w:r>
          </w:p>
        </w:tc>
        <w:tc>
          <w:tcPr>
            <w:tcW w:w="963" w:type="dxa"/>
            <w:tcBorders>
              <w:top w:val="nil"/>
              <w:left w:val="nil"/>
              <w:bottom w:val="nil"/>
              <w:right w:val="nil"/>
            </w:tcBorders>
            <w:shd w:val="clear" w:color="auto" w:fill="auto"/>
            <w:noWrap/>
            <w:vAlign w:val="center"/>
            <w:hideMark/>
          </w:tcPr>
          <w:p w14:paraId="74085303" w14:textId="77777777" w:rsidR="00EF3714" w:rsidRPr="00EF3714" w:rsidRDefault="00EF3714" w:rsidP="00EF3714">
            <w:pPr>
              <w:spacing w:after="0" w:line="240" w:lineRule="auto"/>
              <w:rPr>
                <w:color w:val="000000"/>
              </w:rPr>
            </w:pPr>
            <w:r w:rsidRPr="00EF3714">
              <w:rPr>
                <w:color w:val="000000"/>
              </w:rPr>
              <w:t>.07</w:t>
            </w:r>
          </w:p>
        </w:tc>
        <w:tc>
          <w:tcPr>
            <w:tcW w:w="963" w:type="dxa"/>
            <w:tcBorders>
              <w:top w:val="nil"/>
              <w:left w:val="nil"/>
              <w:bottom w:val="nil"/>
              <w:right w:val="nil"/>
            </w:tcBorders>
            <w:shd w:val="clear" w:color="auto" w:fill="auto"/>
            <w:noWrap/>
            <w:vAlign w:val="center"/>
            <w:hideMark/>
          </w:tcPr>
          <w:p w14:paraId="7E658B87" w14:textId="77777777" w:rsidR="00EF3714" w:rsidRPr="00EF3714" w:rsidRDefault="00EF3714" w:rsidP="00EF3714">
            <w:pPr>
              <w:spacing w:after="0" w:line="240" w:lineRule="auto"/>
              <w:rPr>
                <w:color w:val="000000"/>
              </w:rPr>
            </w:pPr>
            <w:r w:rsidRPr="00EF3714">
              <w:rPr>
                <w:color w:val="000000"/>
              </w:rPr>
              <w:t>.09</w:t>
            </w:r>
          </w:p>
        </w:tc>
        <w:tc>
          <w:tcPr>
            <w:tcW w:w="963" w:type="dxa"/>
            <w:tcBorders>
              <w:top w:val="nil"/>
              <w:left w:val="nil"/>
              <w:bottom w:val="nil"/>
              <w:right w:val="nil"/>
            </w:tcBorders>
            <w:shd w:val="clear" w:color="auto" w:fill="auto"/>
            <w:noWrap/>
            <w:vAlign w:val="center"/>
            <w:hideMark/>
          </w:tcPr>
          <w:p w14:paraId="18A6BA8C" w14:textId="77777777" w:rsidR="00EF3714" w:rsidRPr="00EF3714" w:rsidRDefault="00EF3714" w:rsidP="00EF3714">
            <w:pPr>
              <w:spacing w:after="0" w:line="240" w:lineRule="auto"/>
              <w:rPr>
                <w:color w:val="000000"/>
              </w:rPr>
            </w:pPr>
            <w:r w:rsidRPr="00EF3714">
              <w:rPr>
                <w:color w:val="000000"/>
              </w:rPr>
              <w:t>.84</w:t>
            </w:r>
          </w:p>
        </w:tc>
        <w:tc>
          <w:tcPr>
            <w:tcW w:w="963" w:type="dxa"/>
            <w:tcBorders>
              <w:top w:val="nil"/>
              <w:left w:val="nil"/>
              <w:bottom w:val="nil"/>
              <w:right w:val="nil"/>
            </w:tcBorders>
            <w:shd w:val="clear" w:color="auto" w:fill="auto"/>
            <w:noWrap/>
            <w:vAlign w:val="center"/>
            <w:hideMark/>
          </w:tcPr>
          <w:p w14:paraId="4F4F541E"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315AD2C6" w14:textId="77777777" w:rsidR="00EF3714" w:rsidRPr="00EF3714" w:rsidRDefault="00EF3714" w:rsidP="00EF3714">
            <w:pPr>
              <w:spacing w:after="0" w:line="240" w:lineRule="auto"/>
              <w:rPr>
                <w:color w:val="000000"/>
              </w:rPr>
            </w:pPr>
            <w:r w:rsidRPr="00EF3714">
              <w:rPr>
                <w:color w:val="000000"/>
              </w:rPr>
              <w:t>.14</w:t>
            </w:r>
          </w:p>
        </w:tc>
        <w:tc>
          <w:tcPr>
            <w:tcW w:w="963" w:type="dxa"/>
            <w:tcBorders>
              <w:top w:val="nil"/>
              <w:left w:val="nil"/>
              <w:bottom w:val="nil"/>
              <w:right w:val="nil"/>
            </w:tcBorders>
            <w:shd w:val="clear" w:color="auto" w:fill="auto"/>
            <w:noWrap/>
            <w:vAlign w:val="center"/>
            <w:hideMark/>
          </w:tcPr>
          <w:p w14:paraId="0454C189" w14:textId="77777777" w:rsidR="00EF3714" w:rsidRPr="00EF3714" w:rsidRDefault="00EF3714" w:rsidP="00EF3714">
            <w:pPr>
              <w:spacing w:after="0" w:line="240" w:lineRule="auto"/>
              <w:rPr>
                <w:color w:val="000000"/>
              </w:rPr>
            </w:pPr>
            <w:r w:rsidRPr="00EF3714">
              <w:rPr>
                <w:color w:val="000000"/>
              </w:rPr>
              <w:t>.52</w:t>
            </w:r>
          </w:p>
        </w:tc>
        <w:tc>
          <w:tcPr>
            <w:tcW w:w="963" w:type="dxa"/>
            <w:tcBorders>
              <w:top w:val="nil"/>
              <w:left w:val="nil"/>
              <w:bottom w:val="nil"/>
              <w:right w:val="nil"/>
            </w:tcBorders>
            <w:shd w:val="clear" w:color="auto" w:fill="auto"/>
            <w:noWrap/>
            <w:vAlign w:val="center"/>
            <w:hideMark/>
          </w:tcPr>
          <w:p w14:paraId="429162CF" w14:textId="77777777" w:rsidR="00EF3714" w:rsidRPr="00EF3714" w:rsidRDefault="00EF3714" w:rsidP="00EF3714">
            <w:pPr>
              <w:spacing w:after="0" w:line="240" w:lineRule="auto"/>
              <w:rPr>
                <w:color w:val="000000"/>
              </w:rPr>
            </w:pPr>
            <w:r w:rsidRPr="00EF3714">
              <w:rPr>
                <w:color w:val="000000"/>
              </w:rPr>
              <w:t>.64</w:t>
            </w:r>
          </w:p>
        </w:tc>
        <w:tc>
          <w:tcPr>
            <w:tcW w:w="963" w:type="dxa"/>
            <w:tcBorders>
              <w:top w:val="nil"/>
              <w:left w:val="nil"/>
              <w:bottom w:val="nil"/>
              <w:right w:val="nil"/>
            </w:tcBorders>
            <w:shd w:val="clear" w:color="auto" w:fill="auto"/>
            <w:noWrap/>
            <w:vAlign w:val="center"/>
            <w:hideMark/>
          </w:tcPr>
          <w:p w14:paraId="5E888852" w14:textId="77777777" w:rsidR="00EF3714" w:rsidRPr="00EF3714" w:rsidRDefault="00EF3714" w:rsidP="00EF3714">
            <w:pPr>
              <w:spacing w:after="0" w:line="240" w:lineRule="auto"/>
              <w:rPr>
                <w:color w:val="000000"/>
              </w:rPr>
            </w:pPr>
            <w:r w:rsidRPr="00EF3714">
              <w:rPr>
                <w:color w:val="000000"/>
              </w:rPr>
              <w:t>.80</w:t>
            </w:r>
          </w:p>
        </w:tc>
        <w:tc>
          <w:tcPr>
            <w:tcW w:w="1257" w:type="dxa"/>
            <w:tcBorders>
              <w:top w:val="nil"/>
              <w:left w:val="nil"/>
              <w:bottom w:val="nil"/>
              <w:right w:val="nil"/>
            </w:tcBorders>
            <w:shd w:val="clear" w:color="auto" w:fill="auto"/>
            <w:noWrap/>
            <w:vAlign w:val="center"/>
            <w:hideMark/>
          </w:tcPr>
          <w:p w14:paraId="36E2ABEC" w14:textId="77777777" w:rsidR="00EF3714" w:rsidRPr="00EF3714" w:rsidRDefault="00EF3714" w:rsidP="00EF3714">
            <w:pPr>
              <w:spacing w:after="0" w:line="240" w:lineRule="auto"/>
              <w:rPr>
                <w:color w:val="000000"/>
              </w:rPr>
            </w:pPr>
            <w:r w:rsidRPr="00EF3714">
              <w:rPr>
                <w:color w:val="000000"/>
              </w:rPr>
              <w:t>.48</w:t>
            </w:r>
          </w:p>
        </w:tc>
      </w:tr>
      <w:tr w:rsidR="00EF3714" w:rsidRPr="00EF3714" w14:paraId="2B2463A7" w14:textId="77777777" w:rsidTr="00EF3714">
        <w:trPr>
          <w:trHeight w:val="315"/>
        </w:trPr>
        <w:tc>
          <w:tcPr>
            <w:tcW w:w="1650" w:type="dxa"/>
            <w:tcBorders>
              <w:top w:val="nil"/>
              <w:left w:val="nil"/>
              <w:bottom w:val="nil"/>
              <w:right w:val="nil"/>
            </w:tcBorders>
            <w:shd w:val="clear" w:color="auto" w:fill="auto"/>
            <w:noWrap/>
            <w:vAlign w:val="center"/>
            <w:hideMark/>
          </w:tcPr>
          <w:p w14:paraId="29755229" w14:textId="77777777" w:rsidR="00EF3714" w:rsidRPr="00EF3714" w:rsidRDefault="00EF3714" w:rsidP="00EF3714">
            <w:pPr>
              <w:spacing w:after="0" w:line="240" w:lineRule="auto"/>
              <w:jc w:val="left"/>
              <w:rPr>
                <w:color w:val="000000"/>
              </w:rPr>
            </w:pPr>
            <w:r w:rsidRPr="00EF3714">
              <w:rPr>
                <w:color w:val="000000"/>
              </w:rPr>
              <w:t>Malaysia</w:t>
            </w:r>
          </w:p>
        </w:tc>
        <w:tc>
          <w:tcPr>
            <w:tcW w:w="963" w:type="dxa"/>
            <w:tcBorders>
              <w:top w:val="nil"/>
              <w:left w:val="nil"/>
              <w:bottom w:val="nil"/>
              <w:right w:val="nil"/>
            </w:tcBorders>
            <w:shd w:val="clear" w:color="auto" w:fill="auto"/>
            <w:noWrap/>
            <w:vAlign w:val="center"/>
            <w:hideMark/>
          </w:tcPr>
          <w:p w14:paraId="14DDC524" w14:textId="77777777" w:rsidR="00EF3714" w:rsidRPr="00EF3714" w:rsidRDefault="00EF3714" w:rsidP="00EF3714">
            <w:pPr>
              <w:spacing w:after="0" w:line="240" w:lineRule="auto"/>
              <w:rPr>
                <w:color w:val="000000"/>
              </w:rPr>
            </w:pPr>
            <w:r w:rsidRPr="00EF3714">
              <w:rPr>
                <w:color w:val="000000"/>
              </w:rPr>
              <w:t>.52</w:t>
            </w:r>
          </w:p>
        </w:tc>
        <w:tc>
          <w:tcPr>
            <w:tcW w:w="963" w:type="dxa"/>
            <w:tcBorders>
              <w:top w:val="nil"/>
              <w:left w:val="nil"/>
              <w:bottom w:val="nil"/>
              <w:right w:val="nil"/>
            </w:tcBorders>
            <w:shd w:val="clear" w:color="auto" w:fill="auto"/>
            <w:noWrap/>
            <w:vAlign w:val="center"/>
            <w:hideMark/>
          </w:tcPr>
          <w:p w14:paraId="1AE0AC2E" w14:textId="77777777" w:rsidR="00EF3714" w:rsidRPr="00EF3714" w:rsidRDefault="00EF3714" w:rsidP="00EF3714">
            <w:pPr>
              <w:spacing w:after="0" w:line="240" w:lineRule="auto"/>
              <w:rPr>
                <w:color w:val="000000"/>
              </w:rPr>
            </w:pPr>
            <w:r w:rsidRPr="00EF3714">
              <w:rPr>
                <w:color w:val="000000"/>
              </w:rPr>
              <w:t>.37</w:t>
            </w:r>
          </w:p>
        </w:tc>
        <w:tc>
          <w:tcPr>
            <w:tcW w:w="963" w:type="dxa"/>
            <w:tcBorders>
              <w:top w:val="nil"/>
              <w:left w:val="nil"/>
              <w:bottom w:val="nil"/>
              <w:right w:val="nil"/>
            </w:tcBorders>
            <w:shd w:val="clear" w:color="auto" w:fill="auto"/>
            <w:noWrap/>
            <w:vAlign w:val="center"/>
            <w:hideMark/>
          </w:tcPr>
          <w:p w14:paraId="383A19BB"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27F9FD8B"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3C807279"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26B44F8B" w14:textId="77777777" w:rsidR="00EF3714" w:rsidRPr="00EF3714" w:rsidRDefault="00EF3714" w:rsidP="00EF3714">
            <w:pPr>
              <w:spacing w:after="0" w:line="240" w:lineRule="auto"/>
              <w:rPr>
                <w:color w:val="000000"/>
              </w:rPr>
            </w:pPr>
            <w:r w:rsidRPr="00EF3714">
              <w:rPr>
                <w:color w:val="000000"/>
              </w:rPr>
              <w:t>.16</w:t>
            </w:r>
          </w:p>
        </w:tc>
        <w:tc>
          <w:tcPr>
            <w:tcW w:w="963" w:type="dxa"/>
            <w:tcBorders>
              <w:top w:val="nil"/>
              <w:left w:val="nil"/>
              <w:bottom w:val="nil"/>
              <w:right w:val="nil"/>
            </w:tcBorders>
            <w:shd w:val="clear" w:color="auto" w:fill="auto"/>
            <w:noWrap/>
            <w:vAlign w:val="center"/>
            <w:hideMark/>
          </w:tcPr>
          <w:p w14:paraId="6E5C5B30"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68233C84"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2AD58C5D" w14:textId="77777777" w:rsidR="00EF3714" w:rsidRPr="00EF3714" w:rsidRDefault="00EF3714" w:rsidP="00EF3714">
            <w:pPr>
              <w:spacing w:after="0" w:line="240" w:lineRule="auto"/>
              <w:rPr>
                <w:color w:val="000000"/>
              </w:rPr>
            </w:pPr>
            <w:r w:rsidRPr="00EF3714">
              <w:rPr>
                <w:color w:val="000000"/>
              </w:rPr>
              <w:t>.44</w:t>
            </w:r>
          </w:p>
        </w:tc>
        <w:tc>
          <w:tcPr>
            <w:tcW w:w="1257" w:type="dxa"/>
            <w:tcBorders>
              <w:top w:val="nil"/>
              <w:left w:val="nil"/>
              <w:bottom w:val="nil"/>
              <w:right w:val="nil"/>
            </w:tcBorders>
            <w:shd w:val="clear" w:color="auto" w:fill="auto"/>
            <w:noWrap/>
            <w:vAlign w:val="center"/>
            <w:hideMark/>
          </w:tcPr>
          <w:p w14:paraId="5D76A1A7"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5A9ED84B" w14:textId="77777777" w:rsidTr="00EF3714">
        <w:trPr>
          <w:trHeight w:val="315"/>
        </w:trPr>
        <w:tc>
          <w:tcPr>
            <w:tcW w:w="1650" w:type="dxa"/>
            <w:tcBorders>
              <w:top w:val="nil"/>
              <w:left w:val="nil"/>
              <w:bottom w:val="nil"/>
              <w:right w:val="nil"/>
            </w:tcBorders>
            <w:shd w:val="clear" w:color="auto" w:fill="auto"/>
            <w:noWrap/>
            <w:vAlign w:val="center"/>
            <w:hideMark/>
          </w:tcPr>
          <w:p w14:paraId="2E0FCB4C" w14:textId="77777777" w:rsidR="00EF3714" w:rsidRPr="00EF3714" w:rsidRDefault="00EF3714" w:rsidP="00EF3714">
            <w:pPr>
              <w:spacing w:after="0" w:line="240" w:lineRule="auto"/>
              <w:jc w:val="left"/>
              <w:rPr>
                <w:color w:val="000000"/>
              </w:rPr>
            </w:pPr>
            <w:r w:rsidRPr="00EF3714">
              <w:rPr>
                <w:color w:val="000000"/>
              </w:rPr>
              <w:t>Mexico</w:t>
            </w:r>
          </w:p>
        </w:tc>
        <w:tc>
          <w:tcPr>
            <w:tcW w:w="963" w:type="dxa"/>
            <w:tcBorders>
              <w:top w:val="nil"/>
              <w:left w:val="nil"/>
              <w:bottom w:val="nil"/>
              <w:right w:val="nil"/>
            </w:tcBorders>
            <w:shd w:val="clear" w:color="auto" w:fill="auto"/>
            <w:noWrap/>
            <w:vAlign w:val="center"/>
            <w:hideMark/>
          </w:tcPr>
          <w:p w14:paraId="2EF6DCFB" w14:textId="77777777" w:rsidR="00EF3714" w:rsidRPr="00EF3714" w:rsidRDefault="00EF3714" w:rsidP="00EF3714">
            <w:pPr>
              <w:spacing w:after="0" w:line="240" w:lineRule="auto"/>
              <w:rPr>
                <w:color w:val="000000"/>
              </w:rPr>
            </w:pPr>
            <w:r w:rsidRPr="00EF3714">
              <w:rPr>
                <w:color w:val="000000"/>
              </w:rPr>
              <w:t>.95</w:t>
            </w:r>
          </w:p>
        </w:tc>
        <w:tc>
          <w:tcPr>
            <w:tcW w:w="963" w:type="dxa"/>
            <w:tcBorders>
              <w:top w:val="nil"/>
              <w:left w:val="nil"/>
              <w:bottom w:val="nil"/>
              <w:right w:val="nil"/>
            </w:tcBorders>
            <w:shd w:val="clear" w:color="auto" w:fill="auto"/>
            <w:noWrap/>
            <w:vAlign w:val="center"/>
            <w:hideMark/>
          </w:tcPr>
          <w:p w14:paraId="4F884FC4" w14:textId="77777777" w:rsidR="00EF3714" w:rsidRPr="00EF3714" w:rsidRDefault="00EF3714" w:rsidP="00EF3714">
            <w:pPr>
              <w:spacing w:after="0" w:line="240" w:lineRule="auto"/>
              <w:rPr>
                <w:color w:val="000000"/>
              </w:rPr>
            </w:pPr>
            <w:r w:rsidRPr="00EF3714">
              <w:rPr>
                <w:color w:val="000000"/>
              </w:rPr>
              <w:t>.25</w:t>
            </w:r>
          </w:p>
        </w:tc>
        <w:tc>
          <w:tcPr>
            <w:tcW w:w="963" w:type="dxa"/>
            <w:tcBorders>
              <w:top w:val="nil"/>
              <w:left w:val="nil"/>
              <w:bottom w:val="nil"/>
              <w:right w:val="nil"/>
            </w:tcBorders>
            <w:shd w:val="clear" w:color="auto" w:fill="auto"/>
            <w:noWrap/>
            <w:vAlign w:val="center"/>
            <w:hideMark/>
          </w:tcPr>
          <w:p w14:paraId="3B68F017" w14:textId="77777777" w:rsidR="00EF3714" w:rsidRPr="00EF3714" w:rsidRDefault="00EF3714" w:rsidP="00EF3714">
            <w:pPr>
              <w:spacing w:after="0" w:line="240" w:lineRule="auto"/>
              <w:rPr>
                <w:color w:val="000000"/>
              </w:rPr>
            </w:pPr>
            <w:r w:rsidRPr="00EF3714">
              <w:rPr>
                <w:color w:val="000000"/>
              </w:rPr>
              <w:t>.25</w:t>
            </w:r>
          </w:p>
        </w:tc>
        <w:tc>
          <w:tcPr>
            <w:tcW w:w="963" w:type="dxa"/>
            <w:tcBorders>
              <w:top w:val="nil"/>
              <w:left w:val="nil"/>
              <w:bottom w:val="nil"/>
              <w:right w:val="nil"/>
            </w:tcBorders>
            <w:shd w:val="clear" w:color="auto" w:fill="auto"/>
            <w:noWrap/>
            <w:vAlign w:val="center"/>
            <w:hideMark/>
          </w:tcPr>
          <w:p w14:paraId="43CF6CAF" w14:textId="77777777" w:rsidR="00EF3714" w:rsidRPr="00EF3714" w:rsidRDefault="00EF3714" w:rsidP="00EF3714">
            <w:pPr>
              <w:spacing w:after="0" w:line="240" w:lineRule="auto"/>
              <w:rPr>
                <w:color w:val="000000"/>
              </w:rPr>
            </w:pPr>
            <w:r w:rsidRPr="00EF3714">
              <w:rPr>
                <w:color w:val="000000"/>
              </w:rPr>
              <w:t>.34</w:t>
            </w:r>
          </w:p>
        </w:tc>
        <w:tc>
          <w:tcPr>
            <w:tcW w:w="963" w:type="dxa"/>
            <w:tcBorders>
              <w:top w:val="nil"/>
              <w:left w:val="nil"/>
              <w:bottom w:val="nil"/>
              <w:right w:val="nil"/>
            </w:tcBorders>
            <w:shd w:val="clear" w:color="auto" w:fill="auto"/>
            <w:noWrap/>
            <w:vAlign w:val="center"/>
            <w:hideMark/>
          </w:tcPr>
          <w:p w14:paraId="0789569C"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nil"/>
              <w:right w:val="nil"/>
            </w:tcBorders>
            <w:shd w:val="clear" w:color="auto" w:fill="auto"/>
            <w:noWrap/>
            <w:vAlign w:val="center"/>
            <w:hideMark/>
          </w:tcPr>
          <w:p w14:paraId="3ACC5AC4"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4CC2DE9B" w14:textId="77777777" w:rsidR="00EF3714" w:rsidRPr="00EF3714" w:rsidRDefault="00EF3714" w:rsidP="00EF3714">
            <w:pPr>
              <w:spacing w:after="0" w:line="240" w:lineRule="auto"/>
              <w:rPr>
                <w:color w:val="000000"/>
              </w:rPr>
            </w:pPr>
            <w:r w:rsidRPr="00EF3714">
              <w:rPr>
                <w:color w:val="000000"/>
              </w:rPr>
              <w:t>.63</w:t>
            </w:r>
          </w:p>
        </w:tc>
        <w:tc>
          <w:tcPr>
            <w:tcW w:w="963" w:type="dxa"/>
            <w:tcBorders>
              <w:top w:val="nil"/>
              <w:left w:val="nil"/>
              <w:bottom w:val="nil"/>
              <w:right w:val="nil"/>
            </w:tcBorders>
            <w:shd w:val="clear" w:color="auto" w:fill="auto"/>
            <w:noWrap/>
            <w:vAlign w:val="center"/>
            <w:hideMark/>
          </w:tcPr>
          <w:p w14:paraId="6AE2AC22" w14:textId="77777777" w:rsidR="00EF3714" w:rsidRPr="00EF3714" w:rsidRDefault="00EF3714" w:rsidP="00EF3714">
            <w:pPr>
              <w:spacing w:after="0" w:line="240" w:lineRule="auto"/>
              <w:rPr>
                <w:color w:val="000000"/>
              </w:rPr>
            </w:pPr>
            <w:r w:rsidRPr="00EF3714">
              <w:rPr>
                <w:color w:val="000000"/>
              </w:rPr>
              <w:t>.51</w:t>
            </w:r>
          </w:p>
        </w:tc>
        <w:tc>
          <w:tcPr>
            <w:tcW w:w="963" w:type="dxa"/>
            <w:tcBorders>
              <w:top w:val="nil"/>
              <w:left w:val="nil"/>
              <w:bottom w:val="nil"/>
              <w:right w:val="nil"/>
            </w:tcBorders>
            <w:shd w:val="clear" w:color="auto" w:fill="auto"/>
            <w:noWrap/>
            <w:vAlign w:val="center"/>
            <w:hideMark/>
          </w:tcPr>
          <w:p w14:paraId="14F28DAA" w14:textId="77777777" w:rsidR="00EF3714" w:rsidRPr="00EF3714" w:rsidRDefault="00EF3714" w:rsidP="00EF3714">
            <w:pPr>
              <w:spacing w:after="0" w:line="240" w:lineRule="auto"/>
              <w:rPr>
                <w:color w:val="000000"/>
              </w:rPr>
            </w:pPr>
            <w:r w:rsidRPr="00EF3714">
              <w:rPr>
                <w:color w:val="000000"/>
              </w:rPr>
              <w:t>.65</w:t>
            </w:r>
          </w:p>
        </w:tc>
        <w:tc>
          <w:tcPr>
            <w:tcW w:w="1257" w:type="dxa"/>
            <w:tcBorders>
              <w:top w:val="nil"/>
              <w:left w:val="nil"/>
              <w:bottom w:val="nil"/>
              <w:right w:val="nil"/>
            </w:tcBorders>
            <w:shd w:val="clear" w:color="auto" w:fill="auto"/>
            <w:noWrap/>
            <w:vAlign w:val="center"/>
            <w:hideMark/>
          </w:tcPr>
          <w:p w14:paraId="3831693B"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51F6E1FE" w14:textId="77777777" w:rsidTr="00EF3714">
        <w:trPr>
          <w:trHeight w:val="315"/>
        </w:trPr>
        <w:tc>
          <w:tcPr>
            <w:tcW w:w="1650" w:type="dxa"/>
            <w:tcBorders>
              <w:top w:val="nil"/>
              <w:left w:val="nil"/>
              <w:bottom w:val="nil"/>
              <w:right w:val="nil"/>
            </w:tcBorders>
            <w:shd w:val="clear" w:color="auto" w:fill="auto"/>
            <w:noWrap/>
            <w:vAlign w:val="center"/>
            <w:hideMark/>
          </w:tcPr>
          <w:p w14:paraId="1ADCA99D" w14:textId="77777777" w:rsidR="00EF3714" w:rsidRPr="00EF3714" w:rsidRDefault="00EF3714" w:rsidP="00EF3714">
            <w:pPr>
              <w:spacing w:after="0" w:line="240" w:lineRule="auto"/>
              <w:jc w:val="left"/>
              <w:rPr>
                <w:color w:val="000000"/>
              </w:rPr>
            </w:pPr>
            <w:r w:rsidRPr="00EF3714">
              <w:rPr>
                <w:color w:val="000000"/>
              </w:rPr>
              <w:t>Netherlands</w:t>
            </w:r>
          </w:p>
        </w:tc>
        <w:tc>
          <w:tcPr>
            <w:tcW w:w="963" w:type="dxa"/>
            <w:tcBorders>
              <w:top w:val="nil"/>
              <w:left w:val="nil"/>
              <w:bottom w:val="nil"/>
              <w:right w:val="nil"/>
            </w:tcBorders>
            <w:shd w:val="clear" w:color="auto" w:fill="auto"/>
            <w:noWrap/>
            <w:vAlign w:val="center"/>
            <w:hideMark/>
          </w:tcPr>
          <w:p w14:paraId="1E63A2E3" w14:textId="77777777" w:rsidR="00EF3714" w:rsidRPr="00EF3714" w:rsidRDefault="00EF3714" w:rsidP="00EF3714">
            <w:pPr>
              <w:spacing w:after="0" w:line="240" w:lineRule="auto"/>
              <w:rPr>
                <w:color w:val="000000"/>
              </w:rPr>
            </w:pPr>
            <w:r w:rsidRPr="00EF3714">
              <w:rPr>
                <w:color w:val="000000"/>
              </w:rPr>
              <w:t>.45</w:t>
            </w:r>
          </w:p>
        </w:tc>
        <w:tc>
          <w:tcPr>
            <w:tcW w:w="963" w:type="dxa"/>
            <w:tcBorders>
              <w:top w:val="nil"/>
              <w:left w:val="nil"/>
              <w:bottom w:val="nil"/>
              <w:right w:val="nil"/>
            </w:tcBorders>
            <w:shd w:val="clear" w:color="auto" w:fill="auto"/>
            <w:noWrap/>
            <w:vAlign w:val="center"/>
            <w:hideMark/>
          </w:tcPr>
          <w:p w14:paraId="6F6C9070"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32EE1ECF" w14:textId="77777777" w:rsidR="00EF3714" w:rsidRPr="00EF3714" w:rsidRDefault="00EF3714" w:rsidP="00EF3714">
            <w:pPr>
              <w:spacing w:after="0" w:line="240" w:lineRule="auto"/>
              <w:rPr>
                <w:color w:val="000000"/>
              </w:rPr>
            </w:pPr>
            <w:r w:rsidRPr="00EF3714">
              <w:rPr>
                <w:color w:val="000000"/>
              </w:rPr>
              <w:t>.71</w:t>
            </w:r>
          </w:p>
        </w:tc>
        <w:tc>
          <w:tcPr>
            <w:tcW w:w="963" w:type="dxa"/>
            <w:tcBorders>
              <w:top w:val="nil"/>
              <w:left w:val="nil"/>
              <w:bottom w:val="nil"/>
              <w:right w:val="nil"/>
            </w:tcBorders>
            <w:shd w:val="clear" w:color="auto" w:fill="auto"/>
            <w:noWrap/>
            <w:vAlign w:val="center"/>
            <w:hideMark/>
          </w:tcPr>
          <w:p w14:paraId="7420CA6E" w14:textId="77777777" w:rsidR="00EF3714" w:rsidRPr="00EF3714" w:rsidRDefault="00EF3714" w:rsidP="00EF3714">
            <w:pPr>
              <w:spacing w:after="0" w:line="240" w:lineRule="auto"/>
              <w:rPr>
                <w:color w:val="000000"/>
              </w:rPr>
            </w:pPr>
            <w:r w:rsidRPr="00EF3714">
              <w:rPr>
                <w:color w:val="000000"/>
              </w:rPr>
              <w:t>.18</w:t>
            </w:r>
          </w:p>
        </w:tc>
        <w:tc>
          <w:tcPr>
            <w:tcW w:w="963" w:type="dxa"/>
            <w:tcBorders>
              <w:top w:val="nil"/>
              <w:left w:val="nil"/>
              <w:bottom w:val="nil"/>
              <w:right w:val="nil"/>
            </w:tcBorders>
            <w:shd w:val="clear" w:color="auto" w:fill="auto"/>
            <w:noWrap/>
            <w:vAlign w:val="center"/>
            <w:hideMark/>
          </w:tcPr>
          <w:p w14:paraId="2902D8FF"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6D4B6C00" w14:textId="77777777" w:rsidR="00EF3714" w:rsidRPr="00EF3714" w:rsidRDefault="00EF3714" w:rsidP="00EF3714">
            <w:pPr>
              <w:spacing w:after="0" w:line="240" w:lineRule="auto"/>
              <w:rPr>
                <w:color w:val="000000"/>
              </w:rPr>
            </w:pPr>
            <w:r w:rsidRPr="00EF3714">
              <w:rPr>
                <w:color w:val="000000"/>
              </w:rPr>
              <w:t>.17</w:t>
            </w:r>
          </w:p>
        </w:tc>
        <w:tc>
          <w:tcPr>
            <w:tcW w:w="963" w:type="dxa"/>
            <w:tcBorders>
              <w:top w:val="nil"/>
              <w:left w:val="nil"/>
              <w:bottom w:val="nil"/>
              <w:right w:val="nil"/>
            </w:tcBorders>
            <w:shd w:val="clear" w:color="auto" w:fill="auto"/>
            <w:noWrap/>
            <w:vAlign w:val="center"/>
            <w:hideMark/>
          </w:tcPr>
          <w:p w14:paraId="017B3324" w14:textId="77777777" w:rsidR="00EF3714" w:rsidRPr="00EF3714" w:rsidRDefault="00EF3714" w:rsidP="00EF3714">
            <w:pPr>
              <w:spacing w:after="0" w:line="240" w:lineRule="auto"/>
              <w:rPr>
                <w:color w:val="000000"/>
              </w:rPr>
            </w:pPr>
            <w:r w:rsidRPr="00EF3714">
              <w:rPr>
                <w:color w:val="000000"/>
              </w:rPr>
              <w:t>.72</w:t>
            </w:r>
          </w:p>
        </w:tc>
        <w:tc>
          <w:tcPr>
            <w:tcW w:w="963" w:type="dxa"/>
            <w:tcBorders>
              <w:top w:val="nil"/>
              <w:left w:val="nil"/>
              <w:bottom w:val="nil"/>
              <w:right w:val="nil"/>
            </w:tcBorders>
            <w:shd w:val="clear" w:color="auto" w:fill="auto"/>
            <w:noWrap/>
            <w:vAlign w:val="center"/>
            <w:hideMark/>
          </w:tcPr>
          <w:p w14:paraId="6E65985C" w14:textId="77777777" w:rsidR="00EF3714" w:rsidRPr="00EF3714" w:rsidRDefault="00EF3714" w:rsidP="00EF3714">
            <w:pPr>
              <w:spacing w:after="0" w:line="240" w:lineRule="auto"/>
              <w:rPr>
                <w:color w:val="000000"/>
              </w:rPr>
            </w:pPr>
            <w:r w:rsidRPr="00EF3714">
              <w:rPr>
                <w:color w:val="000000"/>
              </w:rPr>
              <w:t>.49</w:t>
            </w:r>
          </w:p>
        </w:tc>
        <w:tc>
          <w:tcPr>
            <w:tcW w:w="963" w:type="dxa"/>
            <w:tcBorders>
              <w:top w:val="nil"/>
              <w:left w:val="nil"/>
              <w:bottom w:val="nil"/>
              <w:right w:val="nil"/>
            </w:tcBorders>
            <w:shd w:val="clear" w:color="auto" w:fill="auto"/>
            <w:noWrap/>
            <w:vAlign w:val="center"/>
            <w:hideMark/>
          </w:tcPr>
          <w:p w14:paraId="4A92E8AD" w14:textId="77777777" w:rsidR="00EF3714" w:rsidRPr="00EF3714" w:rsidRDefault="00EF3714" w:rsidP="00EF3714">
            <w:pPr>
              <w:spacing w:after="0" w:line="240" w:lineRule="auto"/>
              <w:rPr>
                <w:color w:val="000000"/>
              </w:rPr>
            </w:pPr>
            <w:r w:rsidRPr="00EF3714">
              <w:rPr>
                <w:color w:val="000000"/>
              </w:rPr>
              <w:t>.55</w:t>
            </w:r>
          </w:p>
        </w:tc>
        <w:tc>
          <w:tcPr>
            <w:tcW w:w="1257" w:type="dxa"/>
            <w:tcBorders>
              <w:top w:val="nil"/>
              <w:left w:val="nil"/>
              <w:bottom w:val="nil"/>
              <w:right w:val="nil"/>
            </w:tcBorders>
            <w:shd w:val="clear" w:color="auto" w:fill="auto"/>
            <w:noWrap/>
            <w:vAlign w:val="center"/>
            <w:hideMark/>
          </w:tcPr>
          <w:p w14:paraId="00F4FF68"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4E10F566" w14:textId="77777777" w:rsidTr="00EF3714">
        <w:trPr>
          <w:trHeight w:val="315"/>
        </w:trPr>
        <w:tc>
          <w:tcPr>
            <w:tcW w:w="1650" w:type="dxa"/>
            <w:tcBorders>
              <w:top w:val="nil"/>
              <w:left w:val="nil"/>
              <w:bottom w:val="nil"/>
              <w:right w:val="nil"/>
            </w:tcBorders>
            <w:shd w:val="clear" w:color="auto" w:fill="auto"/>
            <w:noWrap/>
            <w:vAlign w:val="center"/>
            <w:hideMark/>
          </w:tcPr>
          <w:p w14:paraId="0748A35F" w14:textId="77777777" w:rsidR="00EF3714" w:rsidRPr="00EF3714" w:rsidRDefault="00EF3714" w:rsidP="00EF3714">
            <w:pPr>
              <w:spacing w:after="0" w:line="240" w:lineRule="auto"/>
              <w:jc w:val="left"/>
              <w:rPr>
                <w:color w:val="000000"/>
              </w:rPr>
            </w:pPr>
            <w:r w:rsidRPr="00EF3714">
              <w:rPr>
                <w:color w:val="000000"/>
              </w:rPr>
              <w:t>New Zealand</w:t>
            </w:r>
          </w:p>
        </w:tc>
        <w:tc>
          <w:tcPr>
            <w:tcW w:w="963" w:type="dxa"/>
            <w:tcBorders>
              <w:top w:val="nil"/>
              <w:left w:val="nil"/>
              <w:bottom w:val="nil"/>
              <w:right w:val="nil"/>
            </w:tcBorders>
            <w:shd w:val="clear" w:color="auto" w:fill="auto"/>
            <w:noWrap/>
            <w:vAlign w:val="center"/>
            <w:hideMark/>
          </w:tcPr>
          <w:p w14:paraId="08B02724" w14:textId="77777777" w:rsidR="00EF3714" w:rsidRPr="00EF3714" w:rsidRDefault="00EF3714" w:rsidP="00EF3714">
            <w:pPr>
              <w:spacing w:after="0" w:line="240" w:lineRule="auto"/>
              <w:rPr>
                <w:color w:val="000000"/>
              </w:rPr>
            </w:pPr>
            <w:r w:rsidRPr="00EF3714">
              <w:rPr>
                <w:color w:val="000000"/>
              </w:rPr>
              <w:t>.49</w:t>
            </w:r>
          </w:p>
        </w:tc>
        <w:tc>
          <w:tcPr>
            <w:tcW w:w="963" w:type="dxa"/>
            <w:tcBorders>
              <w:top w:val="nil"/>
              <w:left w:val="nil"/>
              <w:bottom w:val="nil"/>
              <w:right w:val="nil"/>
            </w:tcBorders>
            <w:shd w:val="clear" w:color="auto" w:fill="auto"/>
            <w:noWrap/>
            <w:vAlign w:val="center"/>
            <w:hideMark/>
          </w:tcPr>
          <w:p w14:paraId="68DA4952"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193BC64D" w14:textId="77777777" w:rsidR="00EF3714" w:rsidRPr="00EF3714" w:rsidRDefault="00EF3714" w:rsidP="00EF3714">
            <w:pPr>
              <w:spacing w:after="0" w:line="240" w:lineRule="auto"/>
              <w:rPr>
                <w:color w:val="000000"/>
              </w:rPr>
            </w:pPr>
            <w:r w:rsidRPr="00EF3714">
              <w:rPr>
                <w:color w:val="000000"/>
              </w:rPr>
              <w:t>.16</w:t>
            </w:r>
          </w:p>
        </w:tc>
        <w:tc>
          <w:tcPr>
            <w:tcW w:w="963" w:type="dxa"/>
            <w:tcBorders>
              <w:top w:val="nil"/>
              <w:left w:val="nil"/>
              <w:bottom w:val="nil"/>
              <w:right w:val="nil"/>
            </w:tcBorders>
            <w:shd w:val="clear" w:color="auto" w:fill="auto"/>
            <w:noWrap/>
            <w:vAlign w:val="center"/>
            <w:hideMark/>
          </w:tcPr>
          <w:p w14:paraId="253346F3" w14:textId="77777777" w:rsidR="00EF3714" w:rsidRPr="00EF3714" w:rsidRDefault="00EF3714" w:rsidP="00EF3714">
            <w:pPr>
              <w:spacing w:after="0" w:line="240" w:lineRule="auto"/>
              <w:rPr>
                <w:color w:val="000000"/>
              </w:rPr>
            </w:pPr>
            <w:r w:rsidRPr="00EF3714">
              <w:rPr>
                <w:color w:val="000000"/>
              </w:rPr>
              <w:t>.26</w:t>
            </w:r>
          </w:p>
        </w:tc>
        <w:tc>
          <w:tcPr>
            <w:tcW w:w="963" w:type="dxa"/>
            <w:tcBorders>
              <w:top w:val="nil"/>
              <w:left w:val="nil"/>
              <w:bottom w:val="nil"/>
              <w:right w:val="nil"/>
            </w:tcBorders>
            <w:shd w:val="clear" w:color="auto" w:fill="auto"/>
            <w:noWrap/>
            <w:vAlign w:val="center"/>
            <w:hideMark/>
          </w:tcPr>
          <w:p w14:paraId="3B359CFD"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12D45F0B"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784EE742" w14:textId="77777777" w:rsidR="00EF3714" w:rsidRPr="00EF3714" w:rsidRDefault="00EF3714" w:rsidP="00EF3714">
            <w:pPr>
              <w:spacing w:after="0" w:line="240" w:lineRule="auto"/>
              <w:rPr>
                <w:color w:val="000000"/>
              </w:rPr>
            </w:pPr>
            <w:r w:rsidRPr="00EF3714">
              <w:rPr>
                <w:color w:val="000000"/>
              </w:rPr>
              <w:t>.77</w:t>
            </w:r>
          </w:p>
        </w:tc>
        <w:tc>
          <w:tcPr>
            <w:tcW w:w="963" w:type="dxa"/>
            <w:tcBorders>
              <w:top w:val="nil"/>
              <w:left w:val="nil"/>
              <w:bottom w:val="nil"/>
              <w:right w:val="nil"/>
            </w:tcBorders>
            <w:shd w:val="clear" w:color="auto" w:fill="auto"/>
            <w:noWrap/>
            <w:vAlign w:val="center"/>
            <w:hideMark/>
          </w:tcPr>
          <w:p w14:paraId="060ACD03" w14:textId="77777777" w:rsidR="00EF3714" w:rsidRPr="00EF3714" w:rsidRDefault="00EF3714" w:rsidP="00EF3714">
            <w:pPr>
              <w:spacing w:after="0" w:line="240" w:lineRule="auto"/>
              <w:rPr>
                <w:color w:val="000000"/>
              </w:rPr>
            </w:pPr>
            <w:r w:rsidRPr="00EF3714">
              <w:rPr>
                <w:color w:val="000000"/>
              </w:rPr>
              <w:t>.63</w:t>
            </w:r>
          </w:p>
        </w:tc>
        <w:tc>
          <w:tcPr>
            <w:tcW w:w="963" w:type="dxa"/>
            <w:tcBorders>
              <w:top w:val="nil"/>
              <w:left w:val="nil"/>
              <w:bottom w:val="nil"/>
              <w:right w:val="nil"/>
            </w:tcBorders>
            <w:shd w:val="clear" w:color="auto" w:fill="auto"/>
            <w:noWrap/>
            <w:vAlign w:val="center"/>
            <w:hideMark/>
          </w:tcPr>
          <w:p w14:paraId="67678D48" w14:textId="77777777" w:rsidR="00EF3714" w:rsidRPr="00EF3714" w:rsidRDefault="00EF3714" w:rsidP="00EF3714">
            <w:pPr>
              <w:spacing w:after="0" w:line="240" w:lineRule="auto"/>
              <w:rPr>
                <w:color w:val="000000"/>
              </w:rPr>
            </w:pPr>
            <w:r w:rsidRPr="00EF3714">
              <w:rPr>
                <w:color w:val="000000"/>
              </w:rPr>
              <w:t>.72</w:t>
            </w:r>
          </w:p>
        </w:tc>
        <w:tc>
          <w:tcPr>
            <w:tcW w:w="1257" w:type="dxa"/>
            <w:tcBorders>
              <w:top w:val="nil"/>
              <w:left w:val="nil"/>
              <w:bottom w:val="nil"/>
              <w:right w:val="nil"/>
            </w:tcBorders>
            <w:shd w:val="clear" w:color="auto" w:fill="auto"/>
            <w:noWrap/>
            <w:vAlign w:val="center"/>
            <w:hideMark/>
          </w:tcPr>
          <w:p w14:paraId="0AA3EEE8" w14:textId="77777777" w:rsidR="00EF3714" w:rsidRPr="00EF3714" w:rsidRDefault="00EF3714" w:rsidP="00EF3714">
            <w:pPr>
              <w:spacing w:after="0" w:line="240" w:lineRule="auto"/>
              <w:rPr>
                <w:color w:val="000000"/>
              </w:rPr>
            </w:pPr>
            <w:r w:rsidRPr="00EF3714">
              <w:rPr>
                <w:color w:val="000000"/>
              </w:rPr>
              <w:t>.55</w:t>
            </w:r>
          </w:p>
        </w:tc>
      </w:tr>
      <w:tr w:rsidR="00EF3714" w:rsidRPr="00EF3714" w14:paraId="0A4EA6BF" w14:textId="77777777" w:rsidTr="00EF3714">
        <w:trPr>
          <w:trHeight w:val="315"/>
        </w:trPr>
        <w:tc>
          <w:tcPr>
            <w:tcW w:w="1650" w:type="dxa"/>
            <w:tcBorders>
              <w:top w:val="nil"/>
              <w:left w:val="nil"/>
              <w:bottom w:val="nil"/>
              <w:right w:val="nil"/>
            </w:tcBorders>
            <w:shd w:val="clear" w:color="auto" w:fill="auto"/>
            <w:noWrap/>
            <w:vAlign w:val="center"/>
            <w:hideMark/>
          </w:tcPr>
          <w:p w14:paraId="7BA32FF4" w14:textId="77777777" w:rsidR="00EF3714" w:rsidRPr="00EF3714" w:rsidRDefault="00EF3714" w:rsidP="00EF3714">
            <w:pPr>
              <w:spacing w:after="0" w:line="240" w:lineRule="auto"/>
              <w:jc w:val="left"/>
              <w:rPr>
                <w:color w:val="000000"/>
              </w:rPr>
            </w:pPr>
            <w:r w:rsidRPr="00EF3714">
              <w:rPr>
                <w:color w:val="000000"/>
              </w:rPr>
              <w:t>Nigeria</w:t>
            </w:r>
          </w:p>
        </w:tc>
        <w:tc>
          <w:tcPr>
            <w:tcW w:w="963" w:type="dxa"/>
            <w:tcBorders>
              <w:top w:val="nil"/>
              <w:left w:val="nil"/>
              <w:bottom w:val="nil"/>
              <w:right w:val="nil"/>
            </w:tcBorders>
            <w:shd w:val="clear" w:color="auto" w:fill="auto"/>
            <w:noWrap/>
            <w:vAlign w:val="center"/>
            <w:hideMark/>
          </w:tcPr>
          <w:p w14:paraId="3E73A50B"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758F6525"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19282797" w14:textId="77777777" w:rsidR="00EF3714" w:rsidRPr="00EF3714" w:rsidRDefault="00EF3714" w:rsidP="00EF3714">
            <w:pPr>
              <w:spacing w:after="0" w:line="240" w:lineRule="auto"/>
              <w:rPr>
                <w:color w:val="000000"/>
              </w:rPr>
            </w:pPr>
            <w:r w:rsidRPr="00EF3714">
              <w:rPr>
                <w:color w:val="000000"/>
              </w:rPr>
              <w:t>.51</w:t>
            </w:r>
          </w:p>
        </w:tc>
        <w:tc>
          <w:tcPr>
            <w:tcW w:w="963" w:type="dxa"/>
            <w:tcBorders>
              <w:top w:val="nil"/>
              <w:left w:val="nil"/>
              <w:bottom w:val="nil"/>
              <w:right w:val="nil"/>
            </w:tcBorders>
            <w:shd w:val="clear" w:color="auto" w:fill="auto"/>
            <w:noWrap/>
            <w:vAlign w:val="center"/>
            <w:hideMark/>
          </w:tcPr>
          <w:p w14:paraId="34839C1B"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38087FE4" w14:textId="77777777" w:rsidR="00EF3714" w:rsidRPr="00EF3714" w:rsidRDefault="00EF3714" w:rsidP="00EF3714">
            <w:pPr>
              <w:spacing w:after="0" w:line="240" w:lineRule="auto"/>
              <w:rPr>
                <w:color w:val="000000"/>
              </w:rPr>
            </w:pPr>
            <w:r w:rsidRPr="00EF3714">
              <w:rPr>
                <w:color w:val="000000"/>
              </w:rPr>
              <w:t>.15</w:t>
            </w:r>
          </w:p>
        </w:tc>
        <w:tc>
          <w:tcPr>
            <w:tcW w:w="963" w:type="dxa"/>
            <w:tcBorders>
              <w:top w:val="nil"/>
              <w:left w:val="nil"/>
              <w:bottom w:val="nil"/>
              <w:right w:val="nil"/>
            </w:tcBorders>
            <w:shd w:val="clear" w:color="auto" w:fill="auto"/>
            <w:noWrap/>
            <w:vAlign w:val="center"/>
            <w:hideMark/>
          </w:tcPr>
          <w:p w14:paraId="391F1DA1"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79C06E1F" w14:textId="77777777" w:rsidR="00EF3714" w:rsidRPr="00EF3714" w:rsidRDefault="00EF3714" w:rsidP="00EF3714">
            <w:pPr>
              <w:spacing w:after="0" w:line="240" w:lineRule="auto"/>
              <w:rPr>
                <w:color w:val="000000"/>
              </w:rPr>
            </w:pPr>
            <w:r w:rsidRPr="00EF3714">
              <w:rPr>
                <w:color w:val="000000"/>
              </w:rPr>
              <w:t>.60</w:t>
            </w:r>
          </w:p>
        </w:tc>
        <w:tc>
          <w:tcPr>
            <w:tcW w:w="963" w:type="dxa"/>
            <w:tcBorders>
              <w:top w:val="nil"/>
              <w:left w:val="nil"/>
              <w:bottom w:val="nil"/>
              <w:right w:val="nil"/>
            </w:tcBorders>
            <w:shd w:val="clear" w:color="auto" w:fill="auto"/>
            <w:noWrap/>
            <w:vAlign w:val="center"/>
            <w:hideMark/>
          </w:tcPr>
          <w:p w14:paraId="664D83C9" w14:textId="77777777" w:rsidR="00EF3714" w:rsidRPr="00EF3714" w:rsidRDefault="00EF3714" w:rsidP="00EF3714">
            <w:pPr>
              <w:spacing w:after="0" w:line="240" w:lineRule="auto"/>
              <w:rPr>
                <w:color w:val="000000"/>
              </w:rPr>
            </w:pPr>
            <w:r w:rsidRPr="00EF3714">
              <w:rPr>
                <w:color w:val="000000"/>
              </w:rPr>
              <w:t>.60</w:t>
            </w:r>
          </w:p>
        </w:tc>
        <w:tc>
          <w:tcPr>
            <w:tcW w:w="963" w:type="dxa"/>
            <w:tcBorders>
              <w:top w:val="nil"/>
              <w:left w:val="nil"/>
              <w:bottom w:val="nil"/>
              <w:right w:val="nil"/>
            </w:tcBorders>
            <w:shd w:val="clear" w:color="auto" w:fill="auto"/>
            <w:noWrap/>
            <w:vAlign w:val="center"/>
            <w:hideMark/>
          </w:tcPr>
          <w:p w14:paraId="46C59ED8" w14:textId="77777777" w:rsidR="00EF3714" w:rsidRPr="00EF3714" w:rsidRDefault="00EF3714" w:rsidP="00EF3714">
            <w:pPr>
              <w:spacing w:after="0" w:line="240" w:lineRule="auto"/>
              <w:rPr>
                <w:color w:val="000000"/>
              </w:rPr>
            </w:pPr>
            <w:r w:rsidRPr="00EF3714">
              <w:rPr>
                <w:color w:val="000000"/>
              </w:rPr>
              <w:t>.57</w:t>
            </w:r>
          </w:p>
        </w:tc>
        <w:tc>
          <w:tcPr>
            <w:tcW w:w="1257" w:type="dxa"/>
            <w:tcBorders>
              <w:top w:val="nil"/>
              <w:left w:val="nil"/>
              <w:bottom w:val="nil"/>
              <w:right w:val="nil"/>
            </w:tcBorders>
            <w:shd w:val="clear" w:color="auto" w:fill="auto"/>
            <w:noWrap/>
            <w:vAlign w:val="center"/>
            <w:hideMark/>
          </w:tcPr>
          <w:p w14:paraId="266BA2BB" w14:textId="77777777" w:rsidR="00EF3714" w:rsidRPr="00EF3714" w:rsidRDefault="00EF3714" w:rsidP="00EF3714">
            <w:pPr>
              <w:spacing w:after="0" w:line="240" w:lineRule="auto"/>
              <w:rPr>
                <w:color w:val="000000"/>
              </w:rPr>
            </w:pPr>
            <w:r w:rsidRPr="00EF3714">
              <w:rPr>
                <w:color w:val="000000"/>
              </w:rPr>
              <w:t>.52</w:t>
            </w:r>
          </w:p>
        </w:tc>
      </w:tr>
      <w:tr w:rsidR="00EF3714" w:rsidRPr="00EF3714" w14:paraId="4B535168" w14:textId="77777777" w:rsidTr="00EF3714">
        <w:trPr>
          <w:trHeight w:val="315"/>
        </w:trPr>
        <w:tc>
          <w:tcPr>
            <w:tcW w:w="1650" w:type="dxa"/>
            <w:tcBorders>
              <w:top w:val="nil"/>
              <w:left w:val="nil"/>
              <w:bottom w:val="nil"/>
              <w:right w:val="nil"/>
            </w:tcBorders>
            <w:shd w:val="clear" w:color="auto" w:fill="auto"/>
            <w:noWrap/>
            <w:vAlign w:val="center"/>
            <w:hideMark/>
          </w:tcPr>
          <w:p w14:paraId="065F9374" w14:textId="77777777" w:rsidR="00EF3714" w:rsidRPr="00EF3714" w:rsidRDefault="00EF3714" w:rsidP="00EF3714">
            <w:pPr>
              <w:spacing w:after="0" w:line="240" w:lineRule="auto"/>
              <w:jc w:val="left"/>
              <w:rPr>
                <w:color w:val="000000"/>
              </w:rPr>
            </w:pPr>
            <w:r w:rsidRPr="00EF3714">
              <w:rPr>
                <w:color w:val="000000"/>
              </w:rPr>
              <w:t>Norway</w:t>
            </w:r>
          </w:p>
        </w:tc>
        <w:tc>
          <w:tcPr>
            <w:tcW w:w="963" w:type="dxa"/>
            <w:tcBorders>
              <w:top w:val="nil"/>
              <w:left w:val="nil"/>
              <w:bottom w:val="nil"/>
              <w:right w:val="nil"/>
            </w:tcBorders>
            <w:shd w:val="clear" w:color="auto" w:fill="auto"/>
            <w:noWrap/>
            <w:vAlign w:val="center"/>
            <w:hideMark/>
          </w:tcPr>
          <w:p w14:paraId="1BA8871C"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nil"/>
              <w:right w:val="nil"/>
            </w:tcBorders>
            <w:shd w:val="clear" w:color="auto" w:fill="auto"/>
            <w:noWrap/>
            <w:vAlign w:val="center"/>
            <w:hideMark/>
          </w:tcPr>
          <w:p w14:paraId="2B53F8F7" w14:textId="77777777" w:rsidR="00EF3714" w:rsidRPr="00EF3714" w:rsidRDefault="00EF3714" w:rsidP="00EF3714">
            <w:pPr>
              <w:spacing w:after="0" w:line="240" w:lineRule="auto"/>
              <w:rPr>
                <w:color w:val="000000"/>
              </w:rPr>
            </w:pPr>
            <w:r w:rsidRPr="00EF3714">
              <w:rPr>
                <w:color w:val="000000"/>
              </w:rPr>
              <w:t>.87</w:t>
            </w:r>
          </w:p>
        </w:tc>
        <w:tc>
          <w:tcPr>
            <w:tcW w:w="963" w:type="dxa"/>
            <w:tcBorders>
              <w:top w:val="nil"/>
              <w:left w:val="nil"/>
              <w:bottom w:val="nil"/>
              <w:right w:val="nil"/>
            </w:tcBorders>
            <w:shd w:val="clear" w:color="auto" w:fill="auto"/>
            <w:noWrap/>
            <w:vAlign w:val="center"/>
            <w:hideMark/>
          </w:tcPr>
          <w:p w14:paraId="4F82F39F"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6DC8F712"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nil"/>
              <w:right w:val="nil"/>
            </w:tcBorders>
            <w:shd w:val="clear" w:color="auto" w:fill="auto"/>
            <w:noWrap/>
            <w:vAlign w:val="center"/>
            <w:hideMark/>
          </w:tcPr>
          <w:p w14:paraId="51BB6559"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1D2BF242"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nil"/>
              <w:right w:val="nil"/>
            </w:tcBorders>
            <w:shd w:val="clear" w:color="auto" w:fill="auto"/>
            <w:noWrap/>
            <w:vAlign w:val="center"/>
            <w:hideMark/>
          </w:tcPr>
          <w:p w14:paraId="39F9892C" w14:textId="77777777" w:rsidR="00EF3714" w:rsidRPr="00EF3714" w:rsidRDefault="00EF3714" w:rsidP="00EF3714">
            <w:pPr>
              <w:spacing w:after="0" w:line="240" w:lineRule="auto"/>
              <w:rPr>
                <w:color w:val="000000"/>
              </w:rPr>
            </w:pPr>
            <w:r w:rsidRPr="00EF3714">
              <w:rPr>
                <w:color w:val="000000"/>
              </w:rPr>
              <w:t>.68</w:t>
            </w:r>
          </w:p>
        </w:tc>
        <w:tc>
          <w:tcPr>
            <w:tcW w:w="963" w:type="dxa"/>
            <w:tcBorders>
              <w:top w:val="nil"/>
              <w:left w:val="nil"/>
              <w:bottom w:val="nil"/>
              <w:right w:val="nil"/>
            </w:tcBorders>
            <w:shd w:val="clear" w:color="auto" w:fill="auto"/>
            <w:noWrap/>
            <w:vAlign w:val="center"/>
            <w:hideMark/>
          </w:tcPr>
          <w:p w14:paraId="3510237E"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nil"/>
              <w:right w:val="nil"/>
            </w:tcBorders>
            <w:shd w:val="clear" w:color="auto" w:fill="auto"/>
            <w:noWrap/>
            <w:vAlign w:val="center"/>
            <w:hideMark/>
          </w:tcPr>
          <w:p w14:paraId="472E6FB1" w14:textId="77777777" w:rsidR="00EF3714" w:rsidRPr="00EF3714" w:rsidRDefault="00EF3714" w:rsidP="00EF3714">
            <w:pPr>
              <w:spacing w:after="0" w:line="240" w:lineRule="auto"/>
              <w:rPr>
                <w:color w:val="000000"/>
              </w:rPr>
            </w:pPr>
            <w:r w:rsidRPr="00EF3714">
              <w:rPr>
                <w:color w:val="000000"/>
              </w:rPr>
              <w:t>.62</w:t>
            </w:r>
          </w:p>
        </w:tc>
        <w:tc>
          <w:tcPr>
            <w:tcW w:w="1257" w:type="dxa"/>
            <w:tcBorders>
              <w:top w:val="nil"/>
              <w:left w:val="nil"/>
              <w:bottom w:val="nil"/>
              <w:right w:val="nil"/>
            </w:tcBorders>
            <w:shd w:val="clear" w:color="auto" w:fill="auto"/>
            <w:noWrap/>
            <w:vAlign w:val="center"/>
            <w:hideMark/>
          </w:tcPr>
          <w:p w14:paraId="5B7FA7C0" w14:textId="77777777" w:rsidR="00EF3714" w:rsidRPr="00EF3714" w:rsidRDefault="00EF3714" w:rsidP="00EF3714">
            <w:pPr>
              <w:spacing w:after="0" w:line="240" w:lineRule="auto"/>
              <w:rPr>
                <w:color w:val="000000"/>
              </w:rPr>
            </w:pPr>
            <w:r w:rsidRPr="00EF3714">
              <w:rPr>
                <w:color w:val="000000"/>
              </w:rPr>
              <w:t>.50</w:t>
            </w:r>
          </w:p>
        </w:tc>
      </w:tr>
      <w:tr w:rsidR="00EF3714" w:rsidRPr="00EF3714" w14:paraId="23FBD291" w14:textId="77777777" w:rsidTr="00EF3714">
        <w:trPr>
          <w:trHeight w:val="315"/>
        </w:trPr>
        <w:tc>
          <w:tcPr>
            <w:tcW w:w="1650" w:type="dxa"/>
            <w:tcBorders>
              <w:top w:val="nil"/>
              <w:left w:val="nil"/>
              <w:bottom w:val="nil"/>
              <w:right w:val="nil"/>
            </w:tcBorders>
            <w:shd w:val="clear" w:color="auto" w:fill="auto"/>
            <w:noWrap/>
            <w:vAlign w:val="center"/>
            <w:hideMark/>
          </w:tcPr>
          <w:p w14:paraId="5666E8C2" w14:textId="77777777" w:rsidR="00EF3714" w:rsidRPr="00EF3714" w:rsidRDefault="00EF3714" w:rsidP="00EF3714">
            <w:pPr>
              <w:spacing w:after="0" w:line="240" w:lineRule="auto"/>
              <w:jc w:val="left"/>
              <w:rPr>
                <w:color w:val="000000"/>
              </w:rPr>
            </w:pPr>
            <w:r w:rsidRPr="00EF3714">
              <w:rPr>
                <w:color w:val="000000"/>
              </w:rPr>
              <w:t>Pakistan</w:t>
            </w:r>
          </w:p>
        </w:tc>
        <w:tc>
          <w:tcPr>
            <w:tcW w:w="963" w:type="dxa"/>
            <w:tcBorders>
              <w:top w:val="nil"/>
              <w:left w:val="nil"/>
              <w:bottom w:val="nil"/>
              <w:right w:val="nil"/>
            </w:tcBorders>
            <w:shd w:val="clear" w:color="auto" w:fill="auto"/>
            <w:noWrap/>
            <w:vAlign w:val="center"/>
            <w:hideMark/>
          </w:tcPr>
          <w:p w14:paraId="44FC3C7C"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1BA92B01" w14:textId="77777777" w:rsidR="00EF3714" w:rsidRPr="00EF3714" w:rsidRDefault="00EF3714" w:rsidP="00EF3714">
            <w:pPr>
              <w:spacing w:after="0" w:line="240" w:lineRule="auto"/>
              <w:rPr>
                <w:color w:val="000000"/>
              </w:rPr>
            </w:pPr>
            <w:r w:rsidRPr="00EF3714">
              <w:rPr>
                <w:color w:val="000000"/>
              </w:rPr>
              <w:t>.51</w:t>
            </w:r>
          </w:p>
        </w:tc>
        <w:tc>
          <w:tcPr>
            <w:tcW w:w="963" w:type="dxa"/>
            <w:tcBorders>
              <w:top w:val="nil"/>
              <w:left w:val="nil"/>
              <w:bottom w:val="nil"/>
              <w:right w:val="nil"/>
            </w:tcBorders>
            <w:shd w:val="clear" w:color="auto" w:fill="auto"/>
            <w:noWrap/>
            <w:vAlign w:val="center"/>
            <w:hideMark/>
          </w:tcPr>
          <w:p w14:paraId="43E3838E"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0A3AAF4A"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nil"/>
              <w:right w:val="nil"/>
            </w:tcBorders>
            <w:shd w:val="clear" w:color="auto" w:fill="auto"/>
            <w:noWrap/>
            <w:vAlign w:val="center"/>
            <w:hideMark/>
          </w:tcPr>
          <w:p w14:paraId="08634F0D" w14:textId="77777777" w:rsidR="00EF3714" w:rsidRPr="00EF3714" w:rsidRDefault="00EF3714" w:rsidP="00EF3714">
            <w:pPr>
              <w:spacing w:after="0" w:line="240" w:lineRule="auto"/>
              <w:rPr>
                <w:color w:val="000000"/>
              </w:rPr>
            </w:pPr>
            <w:r w:rsidRPr="00EF3714">
              <w:rPr>
                <w:color w:val="000000"/>
              </w:rPr>
              <w:t>.18</w:t>
            </w:r>
          </w:p>
        </w:tc>
        <w:tc>
          <w:tcPr>
            <w:tcW w:w="963" w:type="dxa"/>
            <w:tcBorders>
              <w:top w:val="nil"/>
              <w:left w:val="nil"/>
              <w:bottom w:val="nil"/>
              <w:right w:val="nil"/>
            </w:tcBorders>
            <w:shd w:val="clear" w:color="auto" w:fill="auto"/>
            <w:noWrap/>
            <w:vAlign w:val="center"/>
            <w:hideMark/>
          </w:tcPr>
          <w:p w14:paraId="64DC5CCB"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74E0C4FD" w14:textId="77777777" w:rsidR="00EF3714" w:rsidRPr="00EF3714" w:rsidRDefault="00EF3714" w:rsidP="00EF3714">
            <w:pPr>
              <w:spacing w:after="0" w:line="240" w:lineRule="auto"/>
              <w:rPr>
                <w:color w:val="000000"/>
              </w:rPr>
            </w:pPr>
            <w:r w:rsidRPr="00EF3714">
              <w:rPr>
                <w:color w:val="000000"/>
              </w:rPr>
              <w:t>.63</w:t>
            </w:r>
          </w:p>
        </w:tc>
        <w:tc>
          <w:tcPr>
            <w:tcW w:w="963" w:type="dxa"/>
            <w:tcBorders>
              <w:top w:val="nil"/>
              <w:left w:val="nil"/>
              <w:bottom w:val="nil"/>
              <w:right w:val="nil"/>
            </w:tcBorders>
            <w:shd w:val="clear" w:color="auto" w:fill="auto"/>
            <w:noWrap/>
            <w:vAlign w:val="center"/>
            <w:hideMark/>
          </w:tcPr>
          <w:p w14:paraId="6DF217AB"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7B82DB67" w14:textId="77777777" w:rsidR="00EF3714" w:rsidRPr="00EF3714" w:rsidRDefault="00EF3714" w:rsidP="00EF3714">
            <w:pPr>
              <w:spacing w:after="0" w:line="240" w:lineRule="auto"/>
              <w:rPr>
                <w:color w:val="000000"/>
              </w:rPr>
            </w:pPr>
            <w:r w:rsidRPr="00EF3714">
              <w:rPr>
                <w:color w:val="000000"/>
              </w:rPr>
              <w:t>.45</w:t>
            </w:r>
          </w:p>
        </w:tc>
        <w:tc>
          <w:tcPr>
            <w:tcW w:w="1257" w:type="dxa"/>
            <w:tcBorders>
              <w:top w:val="nil"/>
              <w:left w:val="nil"/>
              <w:bottom w:val="nil"/>
              <w:right w:val="nil"/>
            </w:tcBorders>
            <w:shd w:val="clear" w:color="auto" w:fill="auto"/>
            <w:noWrap/>
            <w:vAlign w:val="center"/>
            <w:hideMark/>
          </w:tcPr>
          <w:p w14:paraId="6627E7FD" w14:textId="77777777" w:rsidR="00EF3714" w:rsidRPr="00EF3714" w:rsidRDefault="00EF3714" w:rsidP="00EF3714">
            <w:pPr>
              <w:spacing w:after="0" w:line="240" w:lineRule="auto"/>
              <w:rPr>
                <w:color w:val="000000"/>
              </w:rPr>
            </w:pPr>
            <w:r w:rsidRPr="00EF3714">
              <w:rPr>
                <w:color w:val="000000"/>
              </w:rPr>
              <w:t>.36</w:t>
            </w:r>
          </w:p>
        </w:tc>
      </w:tr>
      <w:tr w:rsidR="00EF3714" w:rsidRPr="00EF3714" w14:paraId="2D1631AC" w14:textId="77777777" w:rsidTr="00EF3714">
        <w:trPr>
          <w:trHeight w:val="315"/>
        </w:trPr>
        <w:tc>
          <w:tcPr>
            <w:tcW w:w="1650" w:type="dxa"/>
            <w:tcBorders>
              <w:top w:val="nil"/>
              <w:left w:val="nil"/>
              <w:bottom w:val="nil"/>
              <w:right w:val="nil"/>
            </w:tcBorders>
            <w:shd w:val="clear" w:color="auto" w:fill="auto"/>
            <w:noWrap/>
            <w:vAlign w:val="center"/>
            <w:hideMark/>
          </w:tcPr>
          <w:p w14:paraId="0EC9CF9B" w14:textId="77777777" w:rsidR="00EF3714" w:rsidRPr="00EF3714" w:rsidRDefault="00EF3714" w:rsidP="00EF3714">
            <w:pPr>
              <w:spacing w:after="0" w:line="240" w:lineRule="auto"/>
              <w:jc w:val="left"/>
              <w:rPr>
                <w:color w:val="000000"/>
              </w:rPr>
            </w:pPr>
            <w:r w:rsidRPr="00EF3714">
              <w:rPr>
                <w:color w:val="000000"/>
              </w:rPr>
              <w:t>Palestine</w:t>
            </w:r>
          </w:p>
        </w:tc>
        <w:tc>
          <w:tcPr>
            <w:tcW w:w="963" w:type="dxa"/>
            <w:tcBorders>
              <w:top w:val="nil"/>
              <w:left w:val="nil"/>
              <w:bottom w:val="nil"/>
              <w:right w:val="nil"/>
            </w:tcBorders>
            <w:shd w:val="clear" w:color="auto" w:fill="auto"/>
            <w:noWrap/>
            <w:vAlign w:val="center"/>
            <w:hideMark/>
          </w:tcPr>
          <w:p w14:paraId="6F2E395C"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5B5B6645" w14:textId="77777777" w:rsidR="00EF3714" w:rsidRPr="00EF3714" w:rsidRDefault="00EF3714" w:rsidP="00EF3714">
            <w:pPr>
              <w:spacing w:after="0" w:line="240" w:lineRule="auto"/>
              <w:rPr>
                <w:color w:val="000000"/>
              </w:rPr>
            </w:pPr>
            <w:r w:rsidRPr="00EF3714">
              <w:rPr>
                <w:color w:val="000000"/>
              </w:rPr>
              <w:t>.23</w:t>
            </w:r>
          </w:p>
        </w:tc>
        <w:tc>
          <w:tcPr>
            <w:tcW w:w="963" w:type="dxa"/>
            <w:tcBorders>
              <w:top w:val="nil"/>
              <w:left w:val="nil"/>
              <w:bottom w:val="nil"/>
              <w:right w:val="nil"/>
            </w:tcBorders>
            <w:shd w:val="clear" w:color="auto" w:fill="auto"/>
            <w:noWrap/>
            <w:vAlign w:val="center"/>
            <w:hideMark/>
          </w:tcPr>
          <w:p w14:paraId="5C6F5BFA"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372869C7"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246EB69C"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466044CE" w14:textId="77777777" w:rsidR="00EF3714" w:rsidRPr="00EF3714" w:rsidRDefault="00EF3714" w:rsidP="00EF3714">
            <w:pPr>
              <w:spacing w:after="0" w:line="240" w:lineRule="auto"/>
              <w:rPr>
                <w:color w:val="000000"/>
              </w:rPr>
            </w:pPr>
            <w:r w:rsidRPr="00EF3714">
              <w:rPr>
                <w:color w:val="000000"/>
              </w:rPr>
              <w:t>.23</w:t>
            </w:r>
          </w:p>
        </w:tc>
        <w:tc>
          <w:tcPr>
            <w:tcW w:w="963" w:type="dxa"/>
            <w:tcBorders>
              <w:top w:val="nil"/>
              <w:left w:val="nil"/>
              <w:bottom w:val="nil"/>
              <w:right w:val="nil"/>
            </w:tcBorders>
            <w:shd w:val="clear" w:color="auto" w:fill="auto"/>
            <w:noWrap/>
            <w:vAlign w:val="center"/>
            <w:hideMark/>
          </w:tcPr>
          <w:p w14:paraId="763C6D45"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0738F97D"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2FC7E8FB" w14:textId="77777777" w:rsidR="00EF3714" w:rsidRPr="00EF3714" w:rsidRDefault="00EF3714" w:rsidP="00EF3714">
            <w:pPr>
              <w:spacing w:after="0" w:line="240" w:lineRule="auto"/>
              <w:rPr>
                <w:color w:val="000000"/>
              </w:rPr>
            </w:pPr>
            <w:r w:rsidRPr="00EF3714">
              <w:rPr>
                <w:color w:val="000000"/>
              </w:rPr>
              <w:t>.80</w:t>
            </w:r>
          </w:p>
        </w:tc>
        <w:tc>
          <w:tcPr>
            <w:tcW w:w="1257" w:type="dxa"/>
            <w:tcBorders>
              <w:top w:val="nil"/>
              <w:left w:val="nil"/>
              <w:bottom w:val="nil"/>
              <w:right w:val="nil"/>
            </w:tcBorders>
            <w:shd w:val="clear" w:color="auto" w:fill="auto"/>
            <w:noWrap/>
            <w:vAlign w:val="center"/>
            <w:hideMark/>
          </w:tcPr>
          <w:p w14:paraId="2341C458" w14:textId="77777777" w:rsidR="00EF3714" w:rsidRPr="00EF3714" w:rsidRDefault="00EF3714" w:rsidP="00EF3714">
            <w:pPr>
              <w:spacing w:after="0" w:line="240" w:lineRule="auto"/>
              <w:rPr>
                <w:color w:val="000000"/>
              </w:rPr>
            </w:pPr>
            <w:r w:rsidRPr="00EF3714">
              <w:rPr>
                <w:color w:val="000000"/>
              </w:rPr>
              <w:t>.45</w:t>
            </w:r>
          </w:p>
        </w:tc>
      </w:tr>
      <w:tr w:rsidR="00EF3714" w:rsidRPr="00EF3714" w14:paraId="43BC4ACE" w14:textId="77777777" w:rsidTr="00EF3714">
        <w:trPr>
          <w:trHeight w:val="315"/>
        </w:trPr>
        <w:tc>
          <w:tcPr>
            <w:tcW w:w="1650" w:type="dxa"/>
            <w:tcBorders>
              <w:top w:val="nil"/>
              <w:left w:val="nil"/>
              <w:bottom w:val="nil"/>
              <w:right w:val="nil"/>
            </w:tcBorders>
            <w:shd w:val="clear" w:color="auto" w:fill="auto"/>
            <w:noWrap/>
            <w:vAlign w:val="center"/>
            <w:hideMark/>
          </w:tcPr>
          <w:p w14:paraId="477C54D2" w14:textId="77777777" w:rsidR="00EF3714" w:rsidRPr="00EF3714" w:rsidRDefault="00EF3714" w:rsidP="00EF3714">
            <w:pPr>
              <w:spacing w:after="0" w:line="240" w:lineRule="auto"/>
              <w:jc w:val="left"/>
              <w:rPr>
                <w:color w:val="000000"/>
              </w:rPr>
            </w:pPr>
            <w:r w:rsidRPr="00EF3714">
              <w:rPr>
                <w:color w:val="000000"/>
              </w:rPr>
              <w:t>Peru</w:t>
            </w:r>
          </w:p>
        </w:tc>
        <w:tc>
          <w:tcPr>
            <w:tcW w:w="963" w:type="dxa"/>
            <w:tcBorders>
              <w:top w:val="nil"/>
              <w:left w:val="nil"/>
              <w:bottom w:val="nil"/>
              <w:right w:val="nil"/>
            </w:tcBorders>
            <w:shd w:val="clear" w:color="auto" w:fill="auto"/>
            <w:noWrap/>
            <w:vAlign w:val="center"/>
            <w:hideMark/>
          </w:tcPr>
          <w:p w14:paraId="07CEE51E" w14:textId="77777777" w:rsidR="00EF3714" w:rsidRPr="00EF3714" w:rsidRDefault="00EF3714" w:rsidP="00EF3714">
            <w:pPr>
              <w:spacing w:after="0" w:line="240" w:lineRule="auto"/>
              <w:rPr>
                <w:color w:val="000000"/>
              </w:rPr>
            </w:pPr>
            <w:r w:rsidRPr="00EF3714">
              <w:rPr>
                <w:color w:val="000000"/>
              </w:rPr>
              <w:t>.73</w:t>
            </w:r>
          </w:p>
        </w:tc>
        <w:tc>
          <w:tcPr>
            <w:tcW w:w="963" w:type="dxa"/>
            <w:tcBorders>
              <w:top w:val="nil"/>
              <w:left w:val="nil"/>
              <w:bottom w:val="nil"/>
              <w:right w:val="nil"/>
            </w:tcBorders>
            <w:shd w:val="clear" w:color="auto" w:fill="auto"/>
            <w:noWrap/>
            <w:vAlign w:val="center"/>
            <w:hideMark/>
          </w:tcPr>
          <w:p w14:paraId="273867CC"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39F2C3EB"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3152DACD"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52A0A870"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786AB2D7"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305BE05C" w14:textId="77777777" w:rsidR="00EF3714" w:rsidRPr="00EF3714" w:rsidRDefault="00EF3714" w:rsidP="00EF3714">
            <w:pPr>
              <w:spacing w:after="0" w:line="240" w:lineRule="auto"/>
              <w:rPr>
                <w:color w:val="000000"/>
              </w:rPr>
            </w:pPr>
            <w:r w:rsidRPr="00EF3714">
              <w:rPr>
                <w:color w:val="000000"/>
              </w:rPr>
              <w:t>.76</w:t>
            </w:r>
          </w:p>
        </w:tc>
        <w:tc>
          <w:tcPr>
            <w:tcW w:w="963" w:type="dxa"/>
            <w:tcBorders>
              <w:top w:val="nil"/>
              <w:left w:val="nil"/>
              <w:bottom w:val="nil"/>
              <w:right w:val="nil"/>
            </w:tcBorders>
            <w:shd w:val="clear" w:color="auto" w:fill="auto"/>
            <w:noWrap/>
            <w:vAlign w:val="center"/>
            <w:hideMark/>
          </w:tcPr>
          <w:p w14:paraId="4FBB05CF" w14:textId="77777777" w:rsidR="00EF3714" w:rsidRPr="00EF3714" w:rsidRDefault="00EF3714" w:rsidP="00EF3714">
            <w:pPr>
              <w:spacing w:after="0" w:line="240" w:lineRule="auto"/>
              <w:rPr>
                <w:color w:val="000000"/>
              </w:rPr>
            </w:pPr>
            <w:r w:rsidRPr="00EF3714">
              <w:rPr>
                <w:color w:val="000000"/>
              </w:rPr>
              <w:t>.74</w:t>
            </w:r>
          </w:p>
        </w:tc>
        <w:tc>
          <w:tcPr>
            <w:tcW w:w="963" w:type="dxa"/>
            <w:tcBorders>
              <w:top w:val="nil"/>
              <w:left w:val="nil"/>
              <w:bottom w:val="nil"/>
              <w:right w:val="nil"/>
            </w:tcBorders>
            <w:shd w:val="clear" w:color="auto" w:fill="auto"/>
            <w:noWrap/>
            <w:vAlign w:val="center"/>
            <w:hideMark/>
          </w:tcPr>
          <w:p w14:paraId="54DAAE9D" w14:textId="77777777" w:rsidR="00EF3714" w:rsidRPr="00EF3714" w:rsidRDefault="00EF3714" w:rsidP="00EF3714">
            <w:pPr>
              <w:spacing w:after="0" w:line="240" w:lineRule="auto"/>
              <w:rPr>
                <w:color w:val="000000"/>
              </w:rPr>
            </w:pPr>
            <w:r w:rsidRPr="00EF3714">
              <w:rPr>
                <w:color w:val="000000"/>
              </w:rPr>
              <w:t>.63</w:t>
            </w:r>
          </w:p>
        </w:tc>
        <w:tc>
          <w:tcPr>
            <w:tcW w:w="1257" w:type="dxa"/>
            <w:tcBorders>
              <w:top w:val="nil"/>
              <w:left w:val="nil"/>
              <w:bottom w:val="nil"/>
              <w:right w:val="nil"/>
            </w:tcBorders>
            <w:shd w:val="clear" w:color="auto" w:fill="auto"/>
            <w:noWrap/>
            <w:vAlign w:val="center"/>
            <w:hideMark/>
          </w:tcPr>
          <w:p w14:paraId="6469A3C3" w14:textId="77777777" w:rsidR="00EF3714" w:rsidRPr="00EF3714" w:rsidRDefault="00EF3714" w:rsidP="00EF3714">
            <w:pPr>
              <w:spacing w:after="0" w:line="240" w:lineRule="auto"/>
              <w:rPr>
                <w:color w:val="000000"/>
              </w:rPr>
            </w:pPr>
            <w:r w:rsidRPr="00EF3714">
              <w:rPr>
                <w:color w:val="000000"/>
              </w:rPr>
              <w:t>.58</w:t>
            </w:r>
          </w:p>
        </w:tc>
      </w:tr>
      <w:tr w:rsidR="00EF3714" w:rsidRPr="00EF3714" w14:paraId="4E72DFF9" w14:textId="77777777" w:rsidTr="00EF3714">
        <w:trPr>
          <w:trHeight w:val="315"/>
        </w:trPr>
        <w:tc>
          <w:tcPr>
            <w:tcW w:w="1650" w:type="dxa"/>
            <w:tcBorders>
              <w:top w:val="nil"/>
              <w:left w:val="nil"/>
              <w:bottom w:val="nil"/>
              <w:right w:val="nil"/>
            </w:tcBorders>
            <w:shd w:val="clear" w:color="auto" w:fill="auto"/>
            <w:noWrap/>
            <w:vAlign w:val="center"/>
            <w:hideMark/>
          </w:tcPr>
          <w:p w14:paraId="298E87F2" w14:textId="77777777" w:rsidR="00EF3714" w:rsidRPr="00EF3714" w:rsidRDefault="00EF3714" w:rsidP="00EF3714">
            <w:pPr>
              <w:spacing w:after="0" w:line="240" w:lineRule="auto"/>
              <w:jc w:val="left"/>
              <w:rPr>
                <w:color w:val="000000"/>
              </w:rPr>
            </w:pPr>
            <w:r w:rsidRPr="00EF3714">
              <w:rPr>
                <w:color w:val="000000"/>
              </w:rPr>
              <w:t>Philippines</w:t>
            </w:r>
          </w:p>
        </w:tc>
        <w:tc>
          <w:tcPr>
            <w:tcW w:w="963" w:type="dxa"/>
            <w:tcBorders>
              <w:top w:val="nil"/>
              <w:left w:val="nil"/>
              <w:bottom w:val="nil"/>
              <w:right w:val="nil"/>
            </w:tcBorders>
            <w:shd w:val="clear" w:color="auto" w:fill="auto"/>
            <w:noWrap/>
            <w:vAlign w:val="center"/>
            <w:hideMark/>
          </w:tcPr>
          <w:p w14:paraId="5C0210D9"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564D4F0A"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6EDE1649"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5909DEB0"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6AB0DCA1" w14:textId="77777777" w:rsidR="00EF3714" w:rsidRPr="00EF3714" w:rsidRDefault="00EF3714" w:rsidP="00EF3714">
            <w:pPr>
              <w:spacing w:after="0" w:line="240" w:lineRule="auto"/>
              <w:rPr>
                <w:color w:val="000000"/>
              </w:rPr>
            </w:pPr>
            <w:r w:rsidRPr="00EF3714">
              <w:rPr>
                <w:color w:val="000000"/>
              </w:rPr>
              <w:t>.74</w:t>
            </w:r>
          </w:p>
        </w:tc>
        <w:tc>
          <w:tcPr>
            <w:tcW w:w="963" w:type="dxa"/>
            <w:tcBorders>
              <w:top w:val="nil"/>
              <w:left w:val="nil"/>
              <w:bottom w:val="nil"/>
              <w:right w:val="nil"/>
            </w:tcBorders>
            <w:shd w:val="clear" w:color="auto" w:fill="auto"/>
            <w:noWrap/>
            <w:vAlign w:val="center"/>
            <w:hideMark/>
          </w:tcPr>
          <w:p w14:paraId="1E0CEC66"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nil"/>
              <w:right w:val="nil"/>
            </w:tcBorders>
            <w:shd w:val="clear" w:color="auto" w:fill="auto"/>
            <w:noWrap/>
            <w:vAlign w:val="center"/>
            <w:hideMark/>
          </w:tcPr>
          <w:p w14:paraId="70D5CBB6" w14:textId="77777777" w:rsidR="00EF3714" w:rsidRPr="00EF3714" w:rsidRDefault="00EF3714" w:rsidP="00EF3714">
            <w:pPr>
              <w:spacing w:after="0" w:line="240" w:lineRule="auto"/>
              <w:rPr>
                <w:color w:val="000000"/>
              </w:rPr>
            </w:pPr>
            <w:r w:rsidRPr="00EF3714">
              <w:rPr>
                <w:color w:val="000000"/>
              </w:rPr>
              <w:t>.57</w:t>
            </w:r>
          </w:p>
        </w:tc>
        <w:tc>
          <w:tcPr>
            <w:tcW w:w="963" w:type="dxa"/>
            <w:tcBorders>
              <w:top w:val="nil"/>
              <w:left w:val="nil"/>
              <w:bottom w:val="nil"/>
              <w:right w:val="nil"/>
            </w:tcBorders>
            <w:shd w:val="clear" w:color="auto" w:fill="auto"/>
            <w:noWrap/>
            <w:vAlign w:val="center"/>
            <w:hideMark/>
          </w:tcPr>
          <w:p w14:paraId="54F4E9F8" w14:textId="77777777" w:rsidR="00EF3714" w:rsidRPr="00EF3714" w:rsidRDefault="00EF3714" w:rsidP="00EF3714">
            <w:pPr>
              <w:spacing w:after="0" w:line="240" w:lineRule="auto"/>
              <w:rPr>
                <w:color w:val="000000"/>
              </w:rPr>
            </w:pPr>
            <w:r w:rsidRPr="00EF3714">
              <w:rPr>
                <w:color w:val="000000"/>
              </w:rPr>
              <w:t>.64</w:t>
            </w:r>
          </w:p>
        </w:tc>
        <w:tc>
          <w:tcPr>
            <w:tcW w:w="963" w:type="dxa"/>
            <w:tcBorders>
              <w:top w:val="nil"/>
              <w:left w:val="nil"/>
              <w:bottom w:val="nil"/>
              <w:right w:val="nil"/>
            </w:tcBorders>
            <w:shd w:val="clear" w:color="auto" w:fill="auto"/>
            <w:noWrap/>
            <w:vAlign w:val="center"/>
            <w:hideMark/>
          </w:tcPr>
          <w:p w14:paraId="52C0BBD0" w14:textId="77777777" w:rsidR="00EF3714" w:rsidRPr="00EF3714" w:rsidRDefault="00EF3714" w:rsidP="00EF3714">
            <w:pPr>
              <w:spacing w:after="0" w:line="240" w:lineRule="auto"/>
              <w:rPr>
                <w:color w:val="000000"/>
              </w:rPr>
            </w:pPr>
            <w:r w:rsidRPr="00EF3714">
              <w:rPr>
                <w:color w:val="000000"/>
              </w:rPr>
              <w:t>.61</w:t>
            </w:r>
          </w:p>
        </w:tc>
        <w:tc>
          <w:tcPr>
            <w:tcW w:w="1257" w:type="dxa"/>
            <w:tcBorders>
              <w:top w:val="nil"/>
              <w:left w:val="nil"/>
              <w:bottom w:val="nil"/>
              <w:right w:val="nil"/>
            </w:tcBorders>
            <w:shd w:val="clear" w:color="auto" w:fill="auto"/>
            <w:noWrap/>
            <w:vAlign w:val="center"/>
            <w:hideMark/>
          </w:tcPr>
          <w:p w14:paraId="46F209E8" w14:textId="77777777" w:rsidR="00EF3714" w:rsidRPr="00EF3714" w:rsidRDefault="00EF3714" w:rsidP="00EF3714">
            <w:pPr>
              <w:spacing w:after="0" w:line="240" w:lineRule="auto"/>
              <w:rPr>
                <w:color w:val="000000"/>
              </w:rPr>
            </w:pPr>
            <w:r w:rsidRPr="00EF3714">
              <w:rPr>
                <w:color w:val="000000"/>
              </w:rPr>
              <w:t>.48</w:t>
            </w:r>
          </w:p>
        </w:tc>
      </w:tr>
      <w:tr w:rsidR="00EF3714" w:rsidRPr="00EF3714" w14:paraId="7891F820" w14:textId="77777777" w:rsidTr="00EF3714">
        <w:trPr>
          <w:trHeight w:val="315"/>
        </w:trPr>
        <w:tc>
          <w:tcPr>
            <w:tcW w:w="1650" w:type="dxa"/>
            <w:tcBorders>
              <w:top w:val="nil"/>
              <w:left w:val="nil"/>
              <w:bottom w:val="nil"/>
              <w:right w:val="nil"/>
            </w:tcBorders>
            <w:shd w:val="clear" w:color="auto" w:fill="auto"/>
            <w:noWrap/>
            <w:vAlign w:val="center"/>
            <w:hideMark/>
          </w:tcPr>
          <w:p w14:paraId="2807335E" w14:textId="77777777" w:rsidR="00EF3714" w:rsidRPr="00EF3714" w:rsidRDefault="00EF3714" w:rsidP="00EF3714">
            <w:pPr>
              <w:spacing w:after="0" w:line="240" w:lineRule="auto"/>
              <w:jc w:val="left"/>
              <w:rPr>
                <w:color w:val="000000"/>
              </w:rPr>
            </w:pPr>
            <w:r w:rsidRPr="00EF3714">
              <w:rPr>
                <w:color w:val="000000"/>
              </w:rPr>
              <w:t>Poland</w:t>
            </w:r>
          </w:p>
        </w:tc>
        <w:tc>
          <w:tcPr>
            <w:tcW w:w="963" w:type="dxa"/>
            <w:tcBorders>
              <w:top w:val="nil"/>
              <w:left w:val="nil"/>
              <w:bottom w:val="nil"/>
              <w:right w:val="nil"/>
            </w:tcBorders>
            <w:shd w:val="clear" w:color="auto" w:fill="auto"/>
            <w:noWrap/>
            <w:vAlign w:val="center"/>
            <w:hideMark/>
          </w:tcPr>
          <w:p w14:paraId="374A63CF"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3BE3BAB1"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2A7DDE83"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nil"/>
              <w:right w:val="nil"/>
            </w:tcBorders>
            <w:shd w:val="clear" w:color="auto" w:fill="auto"/>
            <w:noWrap/>
            <w:vAlign w:val="center"/>
            <w:hideMark/>
          </w:tcPr>
          <w:p w14:paraId="39CE02A2"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2F47DFC9" w14:textId="77777777" w:rsidR="00EF3714" w:rsidRPr="00EF3714" w:rsidRDefault="00EF3714" w:rsidP="00EF3714">
            <w:pPr>
              <w:spacing w:after="0" w:line="240" w:lineRule="auto"/>
              <w:rPr>
                <w:color w:val="000000"/>
              </w:rPr>
            </w:pPr>
            <w:r w:rsidRPr="00EF3714">
              <w:rPr>
                <w:color w:val="000000"/>
              </w:rPr>
              <w:t>.52</w:t>
            </w:r>
          </w:p>
        </w:tc>
        <w:tc>
          <w:tcPr>
            <w:tcW w:w="963" w:type="dxa"/>
            <w:tcBorders>
              <w:top w:val="nil"/>
              <w:left w:val="nil"/>
              <w:bottom w:val="nil"/>
              <w:right w:val="nil"/>
            </w:tcBorders>
            <w:shd w:val="clear" w:color="auto" w:fill="auto"/>
            <w:noWrap/>
            <w:vAlign w:val="center"/>
            <w:hideMark/>
          </w:tcPr>
          <w:p w14:paraId="7361012D"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6B770F69" w14:textId="77777777" w:rsidR="00EF3714" w:rsidRPr="00EF3714" w:rsidRDefault="00EF3714" w:rsidP="00EF3714">
            <w:pPr>
              <w:spacing w:after="0" w:line="240" w:lineRule="auto"/>
              <w:rPr>
                <w:color w:val="000000"/>
              </w:rPr>
            </w:pPr>
            <w:r w:rsidRPr="00EF3714">
              <w:rPr>
                <w:color w:val="000000"/>
              </w:rPr>
              <w:t>.66</w:t>
            </w:r>
          </w:p>
        </w:tc>
        <w:tc>
          <w:tcPr>
            <w:tcW w:w="963" w:type="dxa"/>
            <w:tcBorders>
              <w:top w:val="nil"/>
              <w:left w:val="nil"/>
              <w:bottom w:val="nil"/>
              <w:right w:val="nil"/>
            </w:tcBorders>
            <w:shd w:val="clear" w:color="auto" w:fill="auto"/>
            <w:noWrap/>
            <w:vAlign w:val="center"/>
            <w:hideMark/>
          </w:tcPr>
          <w:p w14:paraId="519716EB"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2C57253E" w14:textId="77777777" w:rsidR="00EF3714" w:rsidRPr="00EF3714" w:rsidRDefault="00EF3714" w:rsidP="00EF3714">
            <w:pPr>
              <w:spacing w:after="0" w:line="240" w:lineRule="auto"/>
              <w:rPr>
                <w:color w:val="000000"/>
              </w:rPr>
            </w:pPr>
            <w:r w:rsidRPr="00EF3714">
              <w:rPr>
                <w:color w:val="000000"/>
              </w:rPr>
              <w:t>.49</w:t>
            </w:r>
          </w:p>
        </w:tc>
        <w:tc>
          <w:tcPr>
            <w:tcW w:w="1257" w:type="dxa"/>
            <w:tcBorders>
              <w:top w:val="nil"/>
              <w:left w:val="nil"/>
              <w:bottom w:val="nil"/>
              <w:right w:val="nil"/>
            </w:tcBorders>
            <w:shd w:val="clear" w:color="auto" w:fill="auto"/>
            <w:noWrap/>
            <w:vAlign w:val="center"/>
            <w:hideMark/>
          </w:tcPr>
          <w:p w14:paraId="263C7645"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7A577BE2" w14:textId="77777777" w:rsidTr="00EF3714">
        <w:trPr>
          <w:trHeight w:val="315"/>
        </w:trPr>
        <w:tc>
          <w:tcPr>
            <w:tcW w:w="1650" w:type="dxa"/>
            <w:tcBorders>
              <w:top w:val="nil"/>
              <w:left w:val="nil"/>
              <w:bottom w:val="nil"/>
              <w:right w:val="nil"/>
            </w:tcBorders>
            <w:shd w:val="clear" w:color="auto" w:fill="auto"/>
            <w:noWrap/>
            <w:vAlign w:val="center"/>
            <w:hideMark/>
          </w:tcPr>
          <w:p w14:paraId="12E8D345" w14:textId="77777777" w:rsidR="00EF3714" w:rsidRPr="00EF3714" w:rsidRDefault="00EF3714" w:rsidP="00EF3714">
            <w:pPr>
              <w:spacing w:after="0" w:line="240" w:lineRule="auto"/>
              <w:jc w:val="left"/>
              <w:rPr>
                <w:color w:val="000000"/>
              </w:rPr>
            </w:pPr>
            <w:r w:rsidRPr="00EF3714">
              <w:rPr>
                <w:color w:val="000000"/>
              </w:rPr>
              <w:t>Portugal</w:t>
            </w:r>
          </w:p>
        </w:tc>
        <w:tc>
          <w:tcPr>
            <w:tcW w:w="963" w:type="dxa"/>
            <w:tcBorders>
              <w:top w:val="nil"/>
              <w:left w:val="nil"/>
              <w:bottom w:val="nil"/>
              <w:right w:val="nil"/>
            </w:tcBorders>
            <w:shd w:val="clear" w:color="auto" w:fill="auto"/>
            <w:noWrap/>
            <w:vAlign w:val="center"/>
            <w:hideMark/>
          </w:tcPr>
          <w:p w14:paraId="08FDCA6C" w14:textId="77777777" w:rsidR="00EF3714" w:rsidRPr="00EF3714" w:rsidRDefault="00EF3714" w:rsidP="00EF3714">
            <w:pPr>
              <w:spacing w:after="0" w:line="240" w:lineRule="auto"/>
              <w:rPr>
                <w:color w:val="000000"/>
              </w:rPr>
            </w:pPr>
            <w:r w:rsidRPr="00EF3714">
              <w:rPr>
                <w:color w:val="000000"/>
              </w:rPr>
              <w:t>.37</w:t>
            </w:r>
          </w:p>
        </w:tc>
        <w:tc>
          <w:tcPr>
            <w:tcW w:w="963" w:type="dxa"/>
            <w:tcBorders>
              <w:top w:val="nil"/>
              <w:left w:val="nil"/>
              <w:bottom w:val="nil"/>
              <w:right w:val="nil"/>
            </w:tcBorders>
            <w:shd w:val="clear" w:color="auto" w:fill="auto"/>
            <w:noWrap/>
            <w:vAlign w:val="center"/>
            <w:hideMark/>
          </w:tcPr>
          <w:p w14:paraId="0B4B483C"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621EE5B5"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565F4EA2"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21587CB0"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nil"/>
              <w:right w:val="nil"/>
            </w:tcBorders>
            <w:shd w:val="clear" w:color="auto" w:fill="auto"/>
            <w:noWrap/>
            <w:vAlign w:val="center"/>
            <w:hideMark/>
          </w:tcPr>
          <w:p w14:paraId="5AB42BA0"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4CFA8219" w14:textId="77777777" w:rsidR="00EF3714" w:rsidRPr="00EF3714" w:rsidRDefault="00EF3714" w:rsidP="00EF3714">
            <w:pPr>
              <w:spacing w:after="0" w:line="240" w:lineRule="auto"/>
              <w:rPr>
                <w:color w:val="000000"/>
              </w:rPr>
            </w:pPr>
            <w:r w:rsidRPr="00EF3714">
              <w:rPr>
                <w:color w:val="000000"/>
              </w:rPr>
              <w:t>.55</w:t>
            </w:r>
          </w:p>
        </w:tc>
        <w:tc>
          <w:tcPr>
            <w:tcW w:w="963" w:type="dxa"/>
            <w:tcBorders>
              <w:top w:val="nil"/>
              <w:left w:val="nil"/>
              <w:bottom w:val="nil"/>
              <w:right w:val="nil"/>
            </w:tcBorders>
            <w:shd w:val="clear" w:color="auto" w:fill="auto"/>
            <w:noWrap/>
            <w:vAlign w:val="center"/>
            <w:hideMark/>
          </w:tcPr>
          <w:p w14:paraId="415DE547"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4A31B9B9" w14:textId="77777777" w:rsidR="00EF3714" w:rsidRPr="00EF3714" w:rsidRDefault="00EF3714" w:rsidP="00EF3714">
            <w:pPr>
              <w:spacing w:after="0" w:line="240" w:lineRule="auto"/>
              <w:rPr>
                <w:color w:val="000000"/>
              </w:rPr>
            </w:pPr>
            <w:r w:rsidRPr="00EF3714">
              <w:rPr>
                <w:color w:val="000000"/>
              </w:rPr>
              <w:t>.26</w:t>
            </w:r>
          </w:p>
        </w:tc>
        <w:tc>
          <w:tcPr>
            <w:tcW w:w="1257" w:type="dxa"/>
            <w:tcBorders>
              <w:top w:val="nil"/>
              <w:left w:val="nil"/>
              <w:bottom w:val="nil"/>
              <w:right w:val="nil"/>
            </w:tcBorders>
            <w:shd w:val="clear" w:color="auto" w:fill="auto"/>
            <w:noWrap/>
            <w:vAlign w:val="center"/>
            <w:hideMark/>
          </w:tcPr>
          <w:p w14:paraId="70AEBB61"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1A30C704" w14:textId="77777777" w:rsidTr="00EF3714">
        <w:trPr>
          <w:trHeight w:val="315"/>
        </w:trPr>
        <w:tc>
          <w:tcPr>
            <w:tcW w:w="1650" w:type="dxa"/>
            <w:tcBorders>
              <w:top w:val="nil"/>
              <w:left w:val="nil"/>
              <w:bottom w:val="nil"/>
              <w:right w:val="nil"/>
            </w:tcBorders>
            <w:shd w:val="clear" w:color="auto" w:fill="auto"/>
            <w:noWrap/>
            <w:vAlign w:val="center"/>
            <w:hideMark/>
          </w:tcPr>
          <w:p w14:paraId="093892DA" w14:textId="77777777" w:rsidR="00EF3714" w:rsidRPr="00EF3714" w:rsidRDefault="00EF3714" w:rsidP="00EF3714">
            <w:pPr>
              <w:spacing w:after="0" w:line="240" w:lineRule="auto"/>
              <w:jc w:val="left"/>
              <w:rPr>
                <w:color w:val="000000"/>
              </w:rPr>
            </w:pPr>
            <w:r w:rsidRPr="00EF3714">
              <w:rPr>
                <w:color w:val="000000"/>
              </w:rPr>
              <w:t>Romania</w:t>
            </w:r>
          </w:p>
        </w:tc>
        <w:tc>
          <w:tcPr>
            <w:tcW w:w="963" w:type="dxa"/>
            <w:tcBorders>
              <w:top w:val="nil"/>
              <w:left w:val="nil"/>
              <w:bottom w:val="nil"/>
              <w:right w:val="nil"/>
            </w:tcBorders>
            <w:shd w:val="clear" w:color="auto" w:fill="auto"/>
            <w:noWrap/>
            <w:vAlign w:val="center"/>
            <w:hideMark/>
          </w:tcPr>
          <w:p w14:paraId="5A667183"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271D90E6"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344C8705"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76E49EE2"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3BB03CA9"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73140345"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nil"/>
              <w:right w:val="nil"/>
            </w:tcBorders>
            <w:shd w:val="clear" w:color="auto" w:fill="auto"/>
            <w:noWrap/>
            <w:vAlign w:val="center"/>
            <w:hideMark/>
          </w:tcPr>
          <w:p w14:paraId="61CE7323"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4823F655" w14:textId="77777777" w:rsidR="00EF3714" w:rsidRPr="00EF3714" w:rsidRDefault="00EF3714" w:rsidP="00EF3714">
            <w:pPr>
              <w:spacing w:after="0" w:line="240" w:lineRule="auto"/>
              <w:rPr>
                <w:color w:val="000000"/>
              </w:rPr>
            </w:pPr>
            <w:r w:rsidRPr="00EF3714">
              <w:rPr>
                <w:color w:val="000000"/>
              </w:rPr>
              <w:t>.55</w:t>
            </w:r>
          </w:p>
        </w:tc>
        <w:tc>
          <w:tcPr>
            <w:tcW w:w="963" w:type="dxa"/>
            <w:tcBorders>
              <w:top w:val="nil"/>
              <w:left w:val="nil"/>
              <w:bottom w:val="nil"/>
              <w:right w:val="nil"/>
            </w:tcBorders>
            <w:shd w:val="clear" w:color="auto" w:fill="auto"/>
            <w:noWrap/>
            <w:vAlign w:val="center"/>
            <w:hideMark/>
          </w:tcPr>
          <w:p w14:paraId="26ADF4F2" w14:textId="77777777" w:rsidR="00EF3714" w:rsidRPr="00EF3714" w:rsidRDefault="00EF3714" w:rsidP="00EF3714">
            <w:pPr>
              <w:spacing w:after="0" w:line="240" w:lineRule="auto"/>
              <w:rPr>
                <w:color w:val="000000"/>
              </w:rPr>
            </w:pPr>
            <w:r w:rsidRPr="00EF3714">
              <w:rPr>
                <w:color w:val="000000"/>
              </w:rPr>
              <w:t>.70</w:t>
            </w:r>
          </w:p>
        </w:tc>
        <w:tc>
          <w:tcPr>
            <w:tcW w:w="1257" w:type="dxa"/>
            <w:tcBorders>
              <w:top w:val="nil"/>
              <w:left w:val="nil"/>
              <w:bottom w:val="nil"/>
              <w:right w:val="nil"/>
            </w:tcBorders>
            <w:shd w:val="clear" w:color="auto" w:fill="auto"/>
            <w:noWrap/>
            <w:vAlign w:val="center"/>
            <w:hideMark/>
          </w:tcPr>
          <w:p w14:paraId="7A9AA820"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47968271" w14:textId="77777777" w:rsidTr="00EF3714">
        <w:trPr>
          <w:trHeight w:val="315"/>
        </w:trPr>
        <w:tc>
          <w:tcPr>
            <w:tcW w:w="1650" w:type="dxa"/>
            <w:tcBorders>
              <w:top w:val="nil"/>
              <w:left w:val="nil"/>
              <w:bottom w:val="nil"/>
              <w:right w:val="nil"/>
            </w:tcBorders>
            <w:shd w:val="clear" w:color="auto" w:fill="auto"/>
            <w:noWrap/>
            <w:vAlign w:val="center"/>
            <w:hideMark/>
          </w:tcPr>
          <w:p w14:paraId="5C4FB3CD" w14:textId="77777777" w:rsidR="00EF3714" w:rsidRPr="00EF3714" w:rsidRDefault="00EF3714" w:rsidP="00EF3714">
            <w:pPr>
              <w:spacing w:after="0" w:line="240" w:lineRule="auto"/>
              <w:jc w:val="left"/>
              <w:rPr>
                <w:color w:val="000000"/>
              </w:rPr>
            </w:pPr>
            <w:r w:rsidRPr="00EF3714">
              <w:rPr>
                <w:color w:val="000000"/>
              </w:rPr>
              <w:t>Russia</w:t>
            </w:r>
          </w:p>
        </w:tc>
        <w:tc>
          <w:tcPr>
            <w:tcW w:w="963" w:type="dxa"/>
            <w:tcBorders>
              <w:top w:val="nil"/>
              <w:left w:val="nil"/>
              <w:bottom w:val="nil"/>
              <w:right w:val="nil"/>
            </w:tcBorders>
            <w:shd w:val="clear" w:color="auto" w:fill="auto"/>
            <w:noWrap/>
            <w:vAlign w:val="center"/>
            <w:hideMark/>
          </w:tcPr>
          <w:p w14:paraId="78B1A705"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52616C11"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7E7BAEC0"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69EBEF23" w14:textId="77777777" w:rsidR="00EF3714" w:rsidRPr="00EF3714" w:rsidRDefault="00EF3714" w:rsidP="00EF3714">
            <w:pPr>
              <w:spacing w:after="0" w:line="240" w:lineRule="auto"/>
              <w:rPr>
                <w:color w:val="000000"/>
              </w:rPr>
            </w:pPr>
            <w:r w:rsidRPr="00EF3714">
              <w:rPr>
                <w:color w:val="000000"/>
              </w:rPr>
              <w:t>.12</w:t>
            </w:r>
          </w:p>
        </w:tc>
        <w:tc>
          <w:tcPr>
            <w:tcW w:w="963" w:type="dxa"/>
            <w:tcBorders>
              <w:top w:val="nil"/>
              <w:left w:val="nil"/>
              <w:bottom w:val="nil"/>
              <w:right w:val="nil"/>
            </w:tcBorders>
            <w:shd w:val="clear" w:color="auto" w:fill="auto"/>
            <w:noWrap/>
            <w:vAlign w:val="center"/>
            <w:hideMark/>
          </w:tcPr>
          <w:p w14:paraId="1B42076E"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4F23C826"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2AC234B2" w14:textId="77777777" w:rsidR="00EF3714" w:rsidRPr="00EF3714" w:rsidRDefault="00EF3714" w:rsidP="00EF3714">
            <w:pPr>
              <w:spacing w:after="0" w:line="240" w:lineRule="auto"/>
              <w:rPr>
                <w:color w:val="000000"/>
              </w:rPr>
            </w:pPr>
            <w:r w:rsidRPr="00EF3714">
              <w:rPr>
                <w:color w:val="000000"/>
              </w:rPr>
              <w:t>.82</w:t>
            </w:r>
          </w:p>
        </w:tc>
        <w:tc>
          <w:tcPr>
            <w:tcW w:w="963" w:type="dxa"/>
            <w:tcBorders>
              <w:top w:val="nil"/>
              <w:left w:val="nil"/>
              <w:bottom w:val="nil"/>
              <w:right w:val="nil"/>
            </w:tcBorders>
            <w:shd w:val="clear" w:color="auto" w:fill="auto"/>
            <w:noWrap/>
            <w:vAlign w:val="center"/>
            <w:hideMark/>
          </w:tcPr>
          <w:p w14:paraId="776C50CD"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1164B4E6" w14:textId="77777777" w:rsidR="00EF3714" w:rsidRPr="00EF3714" w:rsidRDefault="00EF3714" w:rsidP="00EF3714">
            <w:pPr>
              <w:spacing w:after="0" w:line="240" w:lineRule="auto"/>
              <w:rPr>
                <w:color w:val="000000"/>
              </w:rPr>
            </w:pPr>
            <w:r w:rsidRPr="00EF3714">
              <w:rPr>
                <w:color w:val="000000"/>
              </w:rPr>
              <w:t>.48</w:t>
            </w:r>
          </w:p>
        </w:tc>
        <w:tc>
          <w:tcPr>
            <w:tcW w:w="1257" w:type="dxa"/>
            <w:tcBorders>
              <w:top w:val="nil"/>
              <w:left w:val="nil"/>
              <w:bottom w:val="nil"/>
              <w:right w:val="nil"/>
            </w:tcBorders>
            <w:shd w:val="clear" w:color="auto" w:fill="auto"/>
            <w:noWrap/>
            <w:vAlign w:val="center"/>
            <w:hideMark/>
          </w:tcPr>
          <w:p w14:paraId="5F7C88BC"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13905249" w14:textId="77777777" w:rsidTr="00EF3714">
        <w:trPr>
          <w:trHeight w:val="315"/>
        </w:trPr>
        <w:tc>
          <w:tcPr>
            <w:tcW w:w="1650" w:type="dxa"/>
            <w:tcBorders>
              <w:top w:val="nil"/>
              <w:left w:val="nil"/>
              <w:bottom w:val="nil"/>
              <w:right w:val="nil"/>
            </w:tcBorders>
            <w:shd w:val="clear" w:color="auto" w:fill="auto"/>
            <w:noWrap/>
            <w:vAlign w:val="center"/>
            <w:hideMark/>
          </w:tcPr>
          <w:p w14:paraId="74170356" w14:textId="77777777" w:rsidR="00EF3714" w:rsidRPr="00EF3714" w:rsidRDefault="00EF3714" w:rsidP="00EF3714">
            <w:pPr>
              <w:spacing w:after="0" w:line="240" w:lineRule="auto"/>
              <w:jc w:val="left"/>
              <w:rPr>
                <w:color w:val="000000"/>
              </w:rPr>
            </w:pPr>
            <w:r w:rsidRPr="00EF3714">
              <w:rPr>
                <w:color w:val="000000"/>
              </w:rPr>
              <w:t>Senegal</w:t>
            </w:r>
          </w:p>
        </w:tc>
        <w:tc>
          <w:tcPr>
            <w:tcW w:w="963" w:type="dxa"/>
            <w:tcBorders>
              <w:top w:val="nil"/>
              <w:left w:val="nil"/>
              <w:bottom w:val="nil"/>
              <w:right w:val="nil"/>
            </w:tcBorders>
            <w:shd w:val="clear" w:color="auto" w:fill="auto"/>
            <w:noWrap/>
            <w:vAlign w:val="center"/>
            <w:hideMark/>
          </w:tcPr>
          <w:p w14:paraId="31E7F5BA"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2ACAA13C"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3A984B45"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7F8C730D" w14:textId="77777777" w:rsidR="00EF3714" w:rsidRPr="00EF3714" w:rsidRDefault="00EF3714" w:rsidP="00EF3714">
            <w:pPr>
              <w:spacing w:after="0" w:line="240" w:lineRule="auto"/>
              <w:rPr>
                <w:color w:val="000000"/>
              </w:rPr>
            </w:pPr>
            <w:r w:rsidRPr="00EF3714">
              <w:rPr>
                <w:color w:val="000000"/>
              </w:rPr>
              <w:t>.37</w:t>
            </w:r>
          </w:p>
        </w:tc>
        <w:tc>
          <w:tcPr>
            <w:tcW w:w="963" w:type="dxa"/>
            <w:tcBorders>
              <w:top w:val="nil"/>
              <w:left w:val="nil"/>
              <w:bottom w:val="nil"/>
              <w:right w:val="nil"/>
            </w:tcBorders>
            <w:shd w:val="clear" w:color="auto" w:fill="auto"/>
            <w:noWrap/>
            <w:vAlign w:val="center"/>
            <w:hideMark/>
          </w:tcPr>
          <w:p w14:paraId="4A26A385"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475C1170"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3215D3A6"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0A65589B"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6D04E8DB" w14:textId="77777777" w:rsidR="00EF3714" w:rsidRPr="00EF3714" w:rsidRDefault="00EF3714" w:rsidP="00EF3714">
            <w:pPr>
              <w:spacing w:after="0" w:line="240" w:lineRule="auto"/>
              <w:rPr>
                <w:color w:val="000000"/>
              </w:rPr>
            </w:pPr>
            <w:r w:rsidRPr="00EF3714">
              <w:rPr>
                <w:color w:val="000000"/>
              </w:rPr>
              <w:t>.51</w:t>
            </w:r>
          </w:p>
        </w:tc>
        <w:tc>
          <w:tcPr>
            <w:tcW w:w="1257" w:type="dxa"/>
            <w:tcBorders>
              <w:top w:val="nil"/>
              <w:left w:val="nil"/>
              <w:bottom w:val="nil"/>
              <w:right w:val="nil"/>
            </w:tcBorders>
            <w:shd w:val="clear" w:color="auto" w:fill="auto"/>
            <w:noWrap/>
            <w:vAlign w:val="center"/>
            <w:hideMark/>
          </w:tcPr>
          <w:p w14:paraId="7065FC63"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6CCBEC30" w14:textId="77777777" w:rsidTr="00EF3714">
        <w:trPr>
          <w:trHeight w:val="315"/>
        </w:trPr>
        <w:tc>
          <w:tcPr>
            <w:tcW w:w="1650" w:type="dxa"/>
            <w:tcBorders>
              <w:top w:val="nil"/>
              <w:left w:val="nil"/>
              <w:bottom w:val="nil"/>
              <w:right w:val="nil"/>
            </w:tcBorders>
            <w:shd w:val="clear" w:color="auto" w:fill="auto"/>
            <w:noWrap/>
            <w:vAlign w:val="center"/>
            <w:hideMark/>
          </w:tcPr>
          <w:p w14:paraId="22B178C9" w14:textId="77777777" w:rsidR="00EF3714" w:rsidRPr="00EF3714" w:rsidRDefault="00EF3714" w:rsidP="00EF3714">
            <w:pPr>
              <w:spacing w:after="0" w:line="240" w:lineRule="auto"/>
              <w:jc w:val="left"/>
              <w:rPr>
                <w:color w:val="000000"/>
              </w:rPr>
            </w:pPr>
            <w:r w:rsidRPr="00EF3714">
              <w:rPr>
                <w:color w:val="000000"/>
              </w:rPr>
              <w:t>Serbia</w:t>
            </w:r>
          </w:p>
        </w:tc>
        <w:tc>
          <w:tcPr>
            <w:tcW w:w="963" w:type="dxa"/>
            <w:tcBorders>
              <w:top w:val="nil"/>
              <w:left w:val="nil"/>
              <w:bottom w:val="nil"/>
              <w:right w:val="nil"/>
            </w:tcBorders>
            <w:shd w:val="clear" w:color="auto" w:fill="auto"/>
            <w:noWrap/>
            <w:vAlign w:val="center"/>
            <w:hideMark/>
          </w:tcPr>
          <w:p w14:paraId="0D738EB0"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2535BD59" w14:textId="77777777" w:rsidR="00EF3714" w:rsidRPr="00EF3714" w:rsidRDefault="00EF3714" w:rsidP="00EF3714">
            <w:pPr>
              <w:spacing w:after="0" w:line="240" w:lineRule="auto"/>
              <w:rPr>
                <w:color w:val="000000"/>
              </w:rPr>
            </w:pPr>
            <w:r w:rsidRPr="00EF3714">
              <w:rPr>
                <w:color w:val="000000"/>
              </w:rPr>
              <w:t>.45</w:t>
            </w:r>
          </w:p>
        </w:tc>
        <w:tc>
          <w:tcPr>
            <w:tcW w:w="963" w:type="dxa"/>
            <w:tcBorders>
              <w:top w:val="nil"/>
              <w:left w:val="nil"/>
              <w:bottom w:val="nil"/>
              <w:right w:val="nil"/>
            </w:tcBorders>
            <w:shd w:val="clear" w:color="auto" w:fill="auto"/>
            <w:noWrap/>
            <w:vAlign w:val="center"/>
            <w:hideMark/>
          </w:tcPr>
          <w:p w14:paraId="19ADB6C8"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3849DA05"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043DB09C"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4DAD0C64"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nil"/>
              <w:right w:val="nil"/>
            </w:tcBorders>
            <w:shd w:val="clear" w:color="auto" w:fill="auto"/>
            <w:noWrap/>
            <w:vAlign w:val="center"/>
            <w:hideMark/>
          </w:tcPr>
          <w:p w14:paraId="02C12941"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47585CAF" w14:textId="77777777" w:rsidR="00EF3714" w:rsidRPr="00EF3714" w:rsidRDefault="00EF3714" w:rsidP="00EF3714">
            <w:pPr>
              <w:spacing w:after="0" w:line="240" w:lineRule="auto"/>
              <w:rPr>
                <w:color w:val="000000"/>
              </w:rPr>
            </w:pPr>
            <w:r w:rsidRPr="00EF3714">
              <w:rPr>
                <w:color w:val="000000"/>
              </w:rPr>
              <w:t>.62</w:t>
            </w:r>
          </w:p>
        </w:tc>
        <w:tc>
          <w:tcPr>
            <w:tcW w:w="963" w:type="dxa"/>
            <w:tcBorders>
              <w:top w:val="nil"/>
              <w:left w:val="nil"/>
              <w:bottom w:val="nil"/>
              <w:right w:val="nil"/>
            </w:tcBorders>
            <w:shd w:val="clear" w:color="auto" w:fill="auto"/>
            <w:noWrap/>
            <w:vAlign w:val="center"/>
            <w:hideMark/>
          </w:tcPr>
          <w:p w14:paraId="23E876A7" w14:textId="77777777" w:rsidR="00EF3714" w:rsidRPr="00EF3714" w:rsidRDefault="00EF3714" w:rsidP="00EF3714">
            <w:pPr>
              <w:spacing w:after="0" w:line="240" w:lineRule="auto"/>
              <w:rPr>
                <w:color w:val="000000"/>
              </w:rPr>
            </w:pPr>
            <w:r w:rsidRPr="00EF3714">
              <w:rPr>
                <w:color w:val="000000"/>
              </w:rPr>
              <w:t>.80</w:t>
            </w:r>
          </w:p>
        </w:tc>
        <w:tc>
          <w:tcPr>
            <w:tcW w:w="1257" w:type="dxa"/>
            <w:tcBorders>
              <w:top w:val="nil"/>
              <w:left w:val="nil"/>
              <w:bottom w:val="nil"/>
              <w:right w:val="nil"/>
            </w:tcBorders>
            <w:shd w:val="clear" w:color="auto" w:fill="auto"/>
            <w:noWrap/>
            <w:vAlign w:val="center"/>
            <w:hideMark/>
          </w:tcPr>
          <w:p w14:paraId="281C9D51" w14:textId="77777777" w:rsidR="00EF3714" w:rsidRPr="00EF3714" w:rsidRDefault="00EF3714" w:rsidP="00EF3714">
            <w:pPr>
              <w:spacing w:after="0" w:line="240" w:lineRule="auto"/>
              <w:rPr>
                <w:color w:val="000000"/>
              </w:rPr>
            </w:pPr>
            <w:r w:rsidRPr="00EF3714">
              <w:rPr>
                <w:color w:val="000000"/>
              </w:rPr>
              <w:t>.56</w:t>
            </w:r>
          </w:p>
        </w:tc>
      </w:tr>
      <w:tr w:rsidR="00EF3714" w:rsidRPr="00EF3714" w14:paraId="32B147B0" w14:textId="77777777" w:rsidTr="00EF3714">
        <w:trPr>
          <w:trHeight w:val="315"/>
        </w:trPr>
        <w:tc>
          <w:tcPr>
            <w:tcW w:w="1650" w:type="dxa"/>
            <w:tcBorders>
              <w:top w:val="nil"/>
              <w:left w:val="nil"/>
              <w:bottom w:val="nil"/>
              <w:right w:val="nil"/>
            </w:tcBorders>
            <w:shd w:val="clear" w:color="auto" w:fill="auto"/>
            <w:noWrap/>
            <w:vAlign w:val="center"/>
            <w:hideMark/>
          </w:tcPr>
          <w:p w14:paraId="6630DD61" w14:textId="77777777" w:rsidR="00EF3714" w:rsidRPr="00EF3714" w:rsidRDefault="00EF3714" w:rsidP="00EF3714">
            <w:pPr>
              <w:spacing w:after="0" w:line="240" w:lineRule="auto"/>
              <w:jc w:val="left"/>
              <w:rPr>
                <w:color w:val="000000"/>
              </w:rPr>
            </w:pPr>
            <w:r w:rsidRPr="00EF3714">
              <w:rPr>
                <w:color w:val="000000"/>
              </w:rPr>
              <w:t>Singapore</w:t>
            </w:r>
          </w:p>
        </w:tc>
        <w:tc>
          <w:tcPr>
            <w:tcW w:w="963" w:type="dxa"/>
            <w:tcBorders>
              <w:top w:val="nil"/>
              <w:left w:val="nil"/>
              <w:bottom w:val="nil"/>
              <w:right w:val="nil"/>
            </w:tcBorders>
            <w:shd w:val="clear" w:color="auto" w:fill="auto"/>
            <w:noWrap/>
            <w:vAlign w:val="center"/>
            <w:hideMark/>
          </w:tcPr>
          <w:p w14:paraId="7BA9BA76"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3963341C"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2DD2D7BC"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0CAB1EAB"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1BC431A8" w14:textId="77777777" w:rsidR="00EF3714" w:rsidRPr="00EF3714" w:rsidRDefault="00EF3714" w:rsidP="00EF3714">
            <w:pPr>
              <w:spacing w:after="0" w:line="240" w:lineRule="auto"/>
              <w:rPr>
                <w:color w:val="000000"/>
              </w:rPr>
            </w:pPr>
            <w:r w:rsidRPr="00EF3714">
              <w:rPr>
                <w:color w:val="000000"/>
              </w:rPr>
              <w:t>.31</w:t>
            </w:r>
          </w:p>
        </w:tc>
        <w:tc>
          <w:tcPr>
            <w:tcW w:w="963" w:type="dxa"/>
            <w:tcBorders>
              <w:top w:val="nil"/>
              <w:left w:val="nil"/>
              <w:bottom w:val="nil"/>
              <w:right w:val="nil"/>
            </w:tcBorders>
            <w:shd w:val="clear" w:color="auto" w:fill="auto"/>
            <w:noWrap/>
            <w:vAlign w:val="center"/>
            <w:hideMark/>
          </w:tcPr>
          <w:p w14:paraId="50B1C1F6"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4E6AE298" w14:textId="77777777" w:rsidR="00EF3714" w:rsidRPr="00EF3714" w:rsidRDefault="00EF3714" w:rsidP="00EF3714">
            <w:pPr>
              <w:spacing w:after="0" w:line="240" w:lineRule="auto"/>
              <w:rPr>
                <w:color w:val="000000"/>
              </w:rPr>
            </w:pPr>
            <w:r w:rsidRPr="00EF3714">
              <w:rPr>
                <w:color w:val="000000"/>
              </w:rPr>
              <w:t>.64</w:t>
            </w:r>
          </w:p>
        </w:tc>
        <w:tc>
          <w:tcPr>
            <w:tcW w:w="963" w:type="dxa"/>
            <w:tcBorders>
              <w:top w:val="nil"/>
              <w:left w:val="nil"/>
              <w:bottom w:val="nil"/>
              <w:right w:val="nil"/>
            </w:tcBorders>
            <w:shd w:val="clear" w:color="auto" w:fill="auto"/>
            <w:noWrap/>
            <w:vAlign w:val="center"/>
            <w:hideMark/>
          </w:tcPr>
          <w:p w14:paraId="7583AE18"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57BAB67E" w14:textId="77777777" w:rsidR="00EF3714" w:rsidRPr="00EF3714" w:rsidRDefault="00EF3714" w:rsidP="00EF3714">
            <w:pPr>
              <w:spacing w:after="0" w:line="240" w:lineRule="auto"/>
              <w:rPr>
                <w:color w:val="000000"/>
              </w:rPr>
            </w:pPr>
            <w:r w:rsidRPr="00EF3714">
              <w:rPr>
                <w:color w:val="000000"/>
              </w:rPr>
              <w:t>.69</w:t>
            </w:r>
          </w:p>
        </w:tc>
        <w:tc>
          <w:tcPr>
            <w:tcW w:w="1257" w:type="dxa"/>
            <w:tcBorders>
              <w:top w:val="nil"/>
              <w:left w:val="nil"/>
              <w:bottom w:val="nil"/>
              <w:right w:val="nil"/>
            </w:tcBorders>
            <w:shd w:val="clear" w:color="auto" w:fill="auto"/>
            <w:noWrap/>
            <w:vAlign w:val="center"/>
            <w:hideMark/>
          </w:tcPr>
          <w:p w14:paraId="30F7EFA5"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609C2364" w14:textId="77777777" w:rsidTr="00EF3714">
        <w:trPr>
          <w:trHeight w:val="315"/>
        </w:trPr>
        <w:tc>
          <w:tcPr>
            <w:tcW w:w="1650" w:type="dxa"/>
            <w:tcBorders>
              <w:top w:val="nil"/>
              <w:left w:val="nil"/>
              <w:bottom w:val="nil"/>
              <w:right w:val="nil"/>
            </w:tcBorders>
            <w:shd w:val="clear" w:color="auto" w:fill="auto"/>
            <w:noWrap/>
            <w:vAlign w:val="center"/>
            <w:hideMark/>
          </w:tcPr>
          <w:p w14:paraId="5617EDFF" w14:textId="77777777" w:rsidR="00EF3714" w:rsidRPr="00EF3714" w:rsidRDefault="00EF3714" w:rsidP="00EF3714">
            <w:pPr>
              <w:spacing w:after="0" w:line="240" w:lineRule="auto"/>
              <w:jc w:val="left"/>
              <w:rPr>
                <w:color w:val="000000"/>
              </w:rPr>
            </w:pPr>
            <w:r w:rsidRPr="00EF3714">
              <w:rPr>
                <w:color w:val="000000"/>
              </w:rPr>
              <w:t>Slovakia</w:t>
            </w:r>
          </w:p>
        </w:tc>
        <w:tc>
          <w:tcPr>
            <w:tcW w:w="963" w:type="dxa"/>
            <w:tcBorders>
              <w:top w:val="nil"/>
              <w:left w:val="nil"/>
              <w:bottom w:val="nil"/>
              <w:right w:val="nil"/>
            </w:tcBorders>
            <w:shd w:val="clear" w:color="auto" w:fill="auto"/>
            <w:noWrap/>
            <w:vAlign w:val="center"/>
            <w:hideMark/>
          </w:tcPr>
          <w:p w14:paraId="6F123F47"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2A12795C" w14:textId="77777777" w:rsidR="00EF3714" w:rsidRPr="00EF3714" w:rsidRDefault="00EF3714" w:rsidP="00EF3714">
            <w:pPr>
              <w:spacing w:after="0" w:line="240" w:lineRule="auto"/>
              <w:rPr>
                <w:color w:val="000000"/>
              </w:rPr>
            </w:pPr>
            <w:r w:rsidRPr="00EF3714">
              <w:rPr>
                <w:color w:val="000000"/>
              </w:rPr>
              <w:t>.71</w:t>
            </w:r>
          </w:p>
        </w:tc>
        <w:tc>
          <w:tcPr>
            <w:tcW w:w="963" w:type="dxa"/>
            <w:tcBorders>
              <w:top w:val="nil"/>
              <w:left w:val="nil"/>
              <w:bottom w:val="nil"/>
              <w:right w:val="nil"/>
            </w:tcBorders>
            <w:shd w:val="clear" w:color="auto" w:fill="auto"/>
            <w:noWrap/>
            <w:vAlign w:val="center"/>
            <w:hideMark/>
          </w:tcPr>
          <w:p w14:paraId="21C68DEC" w14:textId="77777777" w:rsidR="00EF3714" w:rsidRPr="00EF3714" w:rsidRDefault="00EF3714" w:rsidP="00EF3714">
            <w:pPr>
              <w:spacing w:after="0" w:line="240" w:lineRule="auto"/>
              <w:rPr>
                <w:color w:val="000000"/>
              </w:rPr>
            </w:pPr>
            <w:r w:rsidRPr="00EF3714">
              <w:rPr>
                <w:color w:val="000000"/>
              </w:rPr>
              <w:t>.51</w:t>
            </w:r>
          </w:p>
        </w:tc>
        <w:tc>
          <w:tcPr>
            <w:tcW w:w="963" w:type="dxa"/>
            <w:tcBorders>
              <w:top w:val="nil"/>
              <w:left w:val="nil"/>
              <w:bottom w:val="nil"/>
              <w:right w:val="nil"/>
            </w:tcBorders>
            <w:shd w:val="clear" w:color="auto" w:fill="auto"/>
            <w:noWrap/>
            <w:vAlign w:val="center"/>
            <w:hideMark/>
          </w:tcPr>
          <w:p w14:paraId="593F65DC" w14:textId="77777777" w:rsidR="00EF3714" w:rsidRPr="00EF3714" w:rsidRDefault="00EF3714" w:rsidP="00EF3714">
            <w:pPr>
              <w:spacing w:after="0" w:line="240" w:lineRule="auto"/>
              <w:rPr>
                <w:color w:val="000000"/>
              </w:rPr>
            </w:pPr>
            <w:r w:rsidRPr="00EF3714">
              <w:rPr>
                <w:color w:val="000000"/>
              </w:rPr>
              <w:t>.37</w:t>
            </w:r>
          </w:p>
        </w:tc>
        <w:tc>
          <w:tcPr>
            <w:tcW w:w="963" w:type="dxa"/>
            <w:tcBorders>
              <w:top w:val="nil"/>
              <w:left w:val="nil"/>
              <w:bottom w:val="nil"/>
              <w:right w:val="nil"/>
            </w:tcBorders>
            <w:shd w:val="clear" w:color="auto" w:fill="auto"/>
            <w:noWrap/>
            <w:vAlign w:val="center"/>
            <w:hideMark/>
          </w:tcPr>
          <w:p w14:paraId="70337B91" w14:textId="77777777" w:rsidR="00EF3714" w:rsidRPr="00EF3714" w:rsidRDefault="00EF3714" w:rsidP="00EF3714">
            <w:pPr>
              <w:spacing w:after="0" w:line="240" w:lineRule="auto"/>
              <w:rPr>
                <w:color w:val="000000"/>
              </w:rPr>
            </w:pPr>
            <w:r w:rsidRPr="00EF3714">
              <w:rPr>
                <w:color w:val="000000"/>
              </w:rPr>
              <w:t>.52</w:t>
            </w:r>
          </w:p>
        </w:tc>
        <w:tc>
          <w:tcPr>
            <w:tcW w:w="963" w:type="dxa"/>
            <w:tcBorders>
              <w:top w:val="nil"/>
              <w:left w:val="nil"/>
              <w:bottom w:val="nil"/>
              <w:right w:val="nil"/>
            </w:tcBorders>
            <w:shd w:val="clear" w:color="auto" w:fill="auto"/>
            <w:noWrap/>
            <w:vAlign w:val="center"/>
            <w:hideMark/>
          </w:tcPr>
          <w:p w14:paraId="021850EE" w14:textId="77777777" w:rsidR="00EF3714" w:rsidRPr="00EF3714" w:rsidRDefault="00EF3714" w:rsidP="00EF3714">
            <w:pPr>
              <w:spacing w:after="0" w:line="240" w:lineRule="auto"/>
              <w:rPr>
                <w:color w:val="000000"/>
              </w:rPr>
            </w:pPr>
            <w:r w:rsidRPr="00EF3714">
              <w:rPr>
                <w:color w:val="000000"/>
              </w:rPr>
              <w:t>.31</w:t>
            </w:r>
          </w:p>
        </w:tc>
        <w:tc>
          <w:tcPr>
            <w:tcW w:w="963" w:type="dxa"/>
            <w:tcBorders>
              <w:top w:val="nil"/>
              <w:left w:val="nil"/>
              <w:bottom w:val="nil"/>
              <w:right w:val="nil"/>
            </w:tcBorders>
            <w:shd w:val="clear" w:color="auto" w:fill="auto"/>
            <w:noWrap/>
            <w:vAlign w:val="center"/>
            <w:hideMark/>
          </w:tcPr>
          <w:p w14:paraId="79E5799F"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nil"/>
              <w:right w:val="nil"/>
            </w:tcBorders>
            <w:shd w:val="clear" w:color="auto" w:fill="auto"/>
            <w:noWrap/>
            <w:vAlign w:val="center"/>
            <w:hideMark/>
          </w:tcPr>
          <w:p w14:paraId="7377CDAF" w14:textId="77777777" w:rsidR="00EF3714" w:rsidRPr="00EF3714" w:rsidRDefault="00EF3714" w:rsidP="00EF3714">
            <w:pPr>
              <w:spacing w:after="0" w:line="240" w:lineRule="auto"/>
              <w:rPr>
                <w:color w:val="000000"/>
              </w:rPr>
            </w:pPr>
            <w:r w:rsidRPr="00EF3714">
              <w:rPr>
                <w:color w:val="000000"/>
              </w:rPr>
              <w:t>.64</w:t>
            </w:r>
          </w:p>
        </w:tc>
        <w:tc>
          <w:tcPr>
            <w:tcW w:w="963" w:type="dxa"/>
            <w:tcBorders>
              <w:top w:val="nil"/>
              <w:left w:val="nil"/>
              <w:bottom w:val="nil"/>
              <w:right w:val="nil"/>
            </w:tcBorders>
            <w:shd w:val="clear" w:color="auto" w:fill="auto"/>
            <w:noWrap/>
            <w:vAlign w:val="center"/>
            <w:hideMark/>
          </w:tcPr>
          <w:p w14:paraId="561AAC55" w14:textId="77777777" w:rsidR="00EF3714" w:rsidRPr="00EF3714" w:rsidRDefault="00EF3714" w:rsidP="00EF3714">
            <w:pPr>
              <w:spacing w:after="0" w:line="240" w:lineRule="auto"/>
              <w:rPr>
                <w:color w:val="000000"/>
              </w:rPr>
            </w:pPr>
            <w:r w:rsidRPr="00EF3714">
              <w:rPr>
                <w:color w:val="000000"/>
              </w:rPr>
              <w:t>.76</w:t>
            </w:r>
          </w:p>
        </w:tc>
        <w:tc>
          <w:tcPr>
            <w:tcW w:w="1257" w:type="dxa"/>
            <w:tcBorders>
              <w:top w:val="nil"/>
              <w:left w:val="nil"/>
              <w:bottom w:val="nil"/>
              <w:right w:val="nil"/>
            </w:tcBorders>
            <w:shd w:val="clear" w:color="auto" w:fill="auto"/>
            <w:noWrap/>
            <w:vAlign w:val="center"/>
            <w:hideMark/>
          </w:tcPr>
          <w:p w14:paraId="58521929" w14:textId="77777777" w:rsidR="00EF3714" w:rsidRPr="00EF3714" w:rsidRDefault="00EF3714" w:rsidP="00EF3714">
            <w:pPr>
              <w:spacing w:after="0" w:line="240" w:lineRule="auto"/>
              <w:rPr>
                <w:color w:val="000000"/>
              </w:rPr>
            </w:pPr>
            <w:r w:rsidRPr="00EF3714">
              <w:rPr>
                <w:color w:val="000000"/>
              </w:rPr>
              <w:t>.54</w:t>
            </w:r>
          </w:p>
        </w:tc>
      </w:tr>
      <w:tr w:rsidR="00EF3714" w:rsidRPr="00EF3714" w14:paraId="35F58CC4" w14:textId="77777777" w:rsidTr="00EF3714">
        <w:trPr>
          <w:trHeight w:val="315"/>
        </w:trPr>
        <w:tc>
          <w:tcPr>
            <w:tcW w:w="1650" w:type="dxa"/>
            <w:tcBorders>
              <w:top w:val="nil"/>
              <w:left w:val="nil"/>
              <w:bottom w:val="nil"/>
              <w:right w:val="nil"/>
            </w:tcBorders>
            <w:shd w:val="clear" w:color="auto" w:fill="auto"/>
            <w:noWrap/>
            <w:vAlign w:val="center"/>
            <w:hideMark/>
          </w:tcPr>
          <w:p w14:paraId="6106A9F0" w14:textId="77777777" w:rsidR="00EF3714" w:rsidRPr="00EF3714" w:rsidRDefault="00EF3714" w:rsidP="00EF3714">
            <w:pPr>
              <w:spacing w:after="0" w:line="240" w:lineRule="auto"/>
              <w:jc w:val="left"/>
              <w:rPr>
                <w:color w:val="000000"/>
              </w:rPr>
            </w:pPr>
            <w:r w:rsidRPr="00EF3714">
              <w:rPr>
                <w:color w:val="000000"/>
              </w:rPr>
              <w:t>Slovenia</w:t>
            </w:r>
          </w:p>
        </w:tc>
        <w:tc>
          <w:tcPr>
            <w:tcW w:w="963" w:type="dxa"/>
            <w:tcBorders>
              <w:top w:val="nil"/>
              <w:left w:val="nil"/>
              <w:bottom w:val="nil"/>
              <w:right w:val="nil"/>
            </w:tcBorders>
            <w:shd w:val="clear" w:color="auto" w:fill="auto"/>
            <w:noWrap/>
            <w:vAlign w:val="center"/>
            <w:hideMark/>
          </w:tcPr>
          <w:p w14:paraId="57B24AA1"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6DE5F8A6" w14:textId="77777777" w:rsidR="00EF3714" w:rsidRPr="00EF3714" w:rsidRDefault="00EF3714" w:rsidP="00EF3714">
            <w:pPr>
              <w:spacing w:after="0" w:line="240" w:lineRule="auto"/>
              <w:rPr>
                <w:color w:val="000000"/>
              </w:rPr>
            </w:pPr>
            <w:r w:rsidRPr="00EF3714">
              <w:rPr>
                <w:color w:val="000000"/>
              </w:rPr>
              <w:t>.69</w:t>
            </w:r>
          </w:p>
        </w:tc>
        <w:tc>
          <w:tcPr>
            <w:tcW w:w="963" w:type="dxa"/>
            <w:tcBorders>
              <w:top w:val="nil"/>
              <w:left w:val="nil"/>
              <w:bottom w:val="nil"/>
              <w:right w:val="nil"/>
            </w:tcBorders>
            <w:shd w:val="clear" w:color="auto" w:fill="auto"/>
            <w:noWrap/>
            <w:vAlign w:val="center"/>
            <w:hideMark/>
          </w:tcPr>
          <w:p w14:paraId="2A80E34E" w14:textId="77777777" w:rsidR="00EF3714" w:rsidRPr="00EF3714" w:rsidRDefault="00EF3714" w:rsidP="00EF3714">
            <w:pPr>
              <w:spacing w:after="0" w:line="240" w:lineRule="auto"/>
              <w:rPr>
                <w:color w:val="000000"/>
              </w:rPr>
            </w:pPr>
            <w:r w:rsidRPr="00EF3714">
              <w:rPr>
                <w:color w:val="000000"/>
              </w:rPr>
              <w:t>.06</w:t>
            </w:r>
          </w:p>
        </w:tc>
        <w:tc>
          <w:tcPr>
            <w:tcW w:w="963" w:type="dxa"/>
            <w:tcBorders>
              <w:top w:val="nil"/>
              <w:left w:val="nil"/>
              <w:bottom w:val="nil"/>
              <w:right w:val="nil"/>
            </w:tcBorders>
            <w:shd w:val="clear" w:color="auto" w:fill="auto"/>
            <w:noWrap/>
            <w:vAlign w:val="center"/>
            <w:hideMark/>
          </w:tcPr>
          <w:p w14:paraId="2D9CE980" w14:textId="77777777" w:rsidR="00EF3714" w:rsidRPr="00EF3714" w:rsidRDefault="00EF3714" w:rsidP="00EF3714">
            <w:pPr>
              <w:spacing w:after="0" w:line="240" w:lineRule="auto"/>
              <w:rPr>
                <w:color w:val="000000"/>
              </w:rPr>
            </w:pPr>
            <w:r w:rsidRPr="00EF3714">
              <w:rPr>
                <w:color w:val="000000"/>
              </w:rPr>
              <w:t>.34</w:t>
            </w:r>
          </w:p>
        </w:tc>
        <w:tc>
          <w:tcPr>
            <w:tcW w:w="963" w:type="dxa"/>
            <w:tcBorders>
              <w:top w:val="nil"/>
              <w:left w:val="nil"/>
              <w:bottom w:val="nil"/>
              <w:right w:val="nil"/>
            </w:tcBorders>
            <w:shd w:val="clear" w:color="auto" w:fill="auto"/>
            <w:noWrap/>
            <w:vAlign w:val="center"/>
            <w:hideMark/>
          </w:tcPr>
          <w:p w14:paraId="77B695E2"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32A0FCC2"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650D697A" w14:textId="77777777" w:rsidR="00EF3714" w:rsidRPr="00EF3714" w:rsidRDefault="00EF3714" w:rsidP="00EF3714">
            <w:pPr>
              <w:spacing w:after="0" w:line="240" w:lineRule="auto"/>
              <w:rPr>
                <w:color w:val="000000"/>
              </w:rPr>
            </w:pPr>
            <w:r w:rsidRPr="00EF3714">
              <w:rPr>
                <w:color w:val="000000"/>
              </w:rPr>
              <w:t>.55</w:t>
            </w:r>
          </w:p>
        </w:tc>
        <w:tc>
          <w:tcPr>
            <w:tcW w:w="963" w:type="dxa"/>
            <w:tcBorders>
              <w:top w:val="nil"/>
              <w:left w:val="nil"/>
              <w:bottom w:val="nil"/>
              <w:right w:val="nil"/>
            </w:tcBorders>
            <w:shd w:val="clear" w:color="auto" w:fill="auto"/>
            <w:noWrap/>
            <w:vAlign w:val="center"/>
            <w:hideMark/>
          </w:tcPr>
          <w:p w14:paraId="4E9466B4"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2E34EB1F" w14:textId="77777777" w:rsidR="00EF3714" w:rsidRPr="00EF3714" w:rsidRDefault="00EF3714" w:rsidP="00EF3714">
            <w:pPr>
              <w:spacing w:after="0" w:line="240" w:lineRule="auto"/>
              <w:rPr>
                <w:color w:val="000000"/>
              </w:rPr>
            </w:pPr>
            <w:r w:rsidRPr="00EF3714">
              <w:rPr>
                <w:color w:val="000000"/>
              </w:rPr>
              <w:t>.62</w:t>
            </w:r>
          </w:p>
        </w:tc>
        <w:tc>
          <w:tcPr>
            <w:tcW w:w="1257" w:type="dxa"/>
            <w:tcBorders>
              <w:top w:val="nil"/>
              <w:left w:val="nil"/>
              <w:bottom w:val="nil"/>
              <w:right w:val="nil"/>
            </w:tcBorders>
            <w:shd w:val="clear" w:color="auto" w:fill="auto"/>
            <w:noWrap/>
            <w:vAlign w:val="center"/>
            <w:hideMark/>
          </w:tcPr>
          <w:p w14:paraId="3F2CD509"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38D205B8" w14:textId="77777777" w:rsidTr="00EF3714">
        <w:trPr>
          <w:trHeight w:val="315"/>
        </w:trPr>
        <w:tc>
          <w:tcPr>
            <w:tcW w:w="1650" w:type="dxa"/>
            <w:tcBorders>
              <w:top w:val="nil"/>
              <w:left w:val="nil"/>
              <w:bottom w:val="nil"/>
              <w:right w:val="nil"/>
            </w:tcBorders>
            <w:shd w:val="clear" w:color="auto" w:fill="auto"/>
            <w:noWrap/>
            <w:vAlign w:val="center"/>
            <w:hideMark/>
          </w:tcPr>
          <w:p w14:paraId="28261485" w14:textId="77777777" w:rsidR="00EF3714" w:rsidRPr="00EF3714" w:rsidRDefault="00EF3714" w:rsidP="00EF3714">
            <w:pPr>
              <w:spacing w:after="0" w:line="240" w:lineRule="auto"/>
              <w:jc w:val="left"/>
              <w:rPr>
                <w:color w:val="000000"/>
              </w:rPr>
            </w:pPr>
            <w:r w:rsidRPr="00EF3714">
              <w:rPr>
                <w:color w:val="000000"/>
              </w:rPr>
              <w:t>South Africa</w:t>
            </w:r>
          </w:p>
        </w:tc>
        <w:tc>
          <w:tcPr>
            <w:tcW w:w="963" w:type="dxa"/>
            <w:tcBorders>
              <w:top w:val="nil"/>
              <w:left w:val="nil"/>
              <w:bottom w:val="nil"/>
              <w:right w:val="nil"/>
            </w:tcBorders>
            <w:shd w:val="clear" w:color="auto" w:fill="auto"/>
            <w:noWrap/>
            <w:vAlign w:val="center"/>
            <w:hideMark/>
          </w:tcPr>
          <w:p w14:paraId="57EDF992"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5F8C4C46"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24570B66" w14:textId="77777777" w:rsidR="00EF3714" w:rsidRPr="00EF3714" w:rsidRDefault="00EF3714" w:rsidP="00EF3714">
            <w:pPr>
              <w:spacing w:after="0" w:line="240" w:lineRule="auto"/>
              <w:rPr>
                <w:color w:val="000000"/>
              </w:rPr>
            </w:pPr>
            <w:r w:rsidRPr="00EF3714">
              <w:rPr>
                <w:color w:val="000000"/>
              </w:rPr>
              <w:t>.60</w:t>
            </w:r>
          </w:p>
        </w:tc>
        <w:tc>
          <w:tcPr>
            <w:tcW w:w="963" w:type="dxa"/>
            <w:tcBorders>
              <w:top w:val="nil"/>
              <w:left w:val="nil"/>
              <w:bottom w:val="nil"/>
              <w:right w:val="nil"/>
            </w:tcBorders>
            <w:shd w:val="clear" w:color="auto" w:fill="auto"/>
            <w:noWrap/>
            <w:vAlign w:val="center"/>
            <w:hideMark/>
          </w:tcPr>
          <w:p w14:paraId="3A5D0619"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1DBFAFD8"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5DC9C53D" w14:textId="77777777" w:rsidR="00EF3714" w:rsidRPr="00EF3714" w:rsidRDefault="00EF3714" w:rsidP="00EF3714">
            <w:pPr>
              <w:spacing w:after="0" w:line="240" w:lineRule="auto"/>
              <w:rPr>
                <w:color w:val="000000"/>
              </w:rPr>
            </w:pPr>
            <w:r w:rsidRPr="00EF3714">
              <w:rPr>
                <w:color w:val="000000"/>
              </w:rPr>
              <w:t>.25</w:t>
            </w:r>
          </w:p>
        </w:tc>
        <w:tc>
          <w:tcPr>
            <w:tcW w:w="963" w:type="dxa"/>
            <w:tcBorders>
              <w:top w:val="nil"/>
              <w:left w:val="nil"/>
              <w:bottom w:val="nil"/>
              <w:right w:val="nil"/>
            </w:tcBorders>
            <w:shd w:val="clear" w:color="auto" w:fill="auto"/>
            <w:noWrap/>
            <w:vAlign w:val="center"/>
            <w:hideMark/>
          </w:tcPr>
          <w:p w14:paraId="20A091D9"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4B07FFC2"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0CEB8BB9" w14:textId="77777777" w:rsidR="00EF3714" w:rsidRPr="00EF3714" w:rsidRDefault="00EF3714" w:rsidP="00EF3714">
            <w:pPr>
              <w:spacing w:after="0" w:line="240" w:lineRule="auto"/>
              <w:rPr>
                <w:color w:val="000000"/>
              </w:rPr>
            </w:pPr>
            <w:r w:rsidRPr="00EF3714">
              <w:rPr>
                <w:color w:val="000000"/>
              </w:rPr>
              <w:t>.81</w:t>
            </w:r>
          </w:p>
        </w:tc>
        <w:tc>
          <w:tcPr>
            <w:tcW w:w="1257" w:type="dxa"/>
            <w:tcBorders>
              <w:top w:val="nil"/>
              <w:left w:val="nil"/>
              <w:bottom w:val="nil"/>
              <w:right w:val="nil"/>
            </w:tcBorders>
            <w:shd w:val="clear" w:color="auto" w:fill="auto"/>
            <w:noWrap/>
            <w:vAlign w:val="center"/>
            <w:hideMark/>
          </w:tcPr>
          <w:p w14:paraId="435BEE4E"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6C44013D" w14:textId="77777777" w:rsidTr="00EF3714">
        <w:trPr>
          <w:trHeight w:val="315"/>
        </w:trPr>
        <w:tc>
          <w:tcPr>
            <w:tcW w:w="1650" w:type="dxa"/>
            <w:tcBorders>
              <w:top w:val="nil"/>
              <w:left w:val="nil"/>
              <w:bottom w:val="nil"/>
              <w:right w:val="nil"/>
            </w:tcBorders>
            <w:shd w:val="clear" w:color="auto" w:fill="auto"/>
            <w:noWrap/>
            <w:vAlign w:val="center"/>
            <w:hideMark/>
          </w:tcPr>
          <w:p w14:paraId="6C324672" w14:textId="77777777" w:rsidR="00EF3714" w:rsidRPr="00EF3714" w:rsidRDefault="00EF3714" w:rsidP="00EF3714">
            <w:pPr>
              <w:spacing w:after="0" w:line="240" w:lineRule="auto"/>
              <w:jc w:val="left"/>
              <w:rPr>
                <w:color w:val="000000"/>
              </w:rPr>
            </w:pPr>
            <w:r w:rsidRPr="00EF3714">
              <w:rPr>
                <w:color w:val="000000"/>
              </w:rPr>
              <w:t>South Korea</w:t>
            </w:r>
          </w:p>
        </w:tc>
        <w:tc>
          <w:tcPr>
            <w:tcW w:w="963" w:type="dxa"/>
            <w:tcBorders>
              <w:top w:val="nil"/>
              <w:left w:val="nil"/>
              <w:bottom w:val="nil"/>
              <w:right w:val="nil"/>
            </w:tcBorders>
            <w:shd w:val="clear" w:color="auto" w:fill="auto"/>
            <w:noWrap/>
            <w:vAlign w:val="center"/>
            <w:hideMark/>
          </w:tcPr>
          <w:p w14:paraId="5FC5851D"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3790938F"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4079AF9D"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1752EBA3"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63267845" w14:textId="77777777" w:rsidR="00EF3714" w:rsidRPr="00EF3714" w:rsidRDefault="00EF3714" w:rsidP="00EF3714">
            <w:pPr>
              <w:spacing w:after="0" w:line="240" w:lineRule="auto"/>
              <w:rPr>
                <w:color w:val="000000"/>
              </w:rPr>
            </w:pPr>
            <w:r w:rsidRPr="00EF3714">
              <w:rPr>
                <w:color w:val="000000"/>
              </w:rPr>
              <w:t>.43</w:t>
            </w:r>
          </w:p>
        </w:tc>
        <w:tc>
          <w:tcPr>
            <w:tcW w:w="963" w:type="dxa"/>
            <w:tcBorders>
              <w:top w:val="nil"/>
              <w:left w:val="nil"/>
              <w:bottom w:val="nil"/>
              <w:right w:val="nil"/>
            </w:tcBorders>
            <w:shd w:val="clear" w:color="auto" w:fill="auto"/>
            <w:noWrap/>
            <w:vAlign w:val="center"/>
            <w:hideMark/>
          </w:tcPr>
          <w:p w14:paraId="55E0E7C6"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302888AC" w14:textId="77777777" w:rsidR="00EF3714" w:rsidRPr="00EF3714" w:rsidRDefault="00EF3714" w:rsidP="00EF3714">
            <w:pPr>
              <w:spacing w:after="0" w:line="240" w:lineRule="auto"/>
              <w:rPr>
                <w:color w:val="000000"/>
              </w:rPr>
            </w:pPr>
            <w:r w:rsidRPr="00EF3714">
              <w:rPr>
                <w:color w:val="000000"/>
              </w:rPr>
              <w:t>.64</w:t>
            </w:r>
          </w:p>
        </w:tc>
        <w:tc>
          <w:tcPr>
            <w:tcW w:w="963" w:type="dxa"/>
            <w:tcBorders>
              <w:top w:val="nil"/>
              <w:left w:val="nil"/>
              <w:bottom w:val="nil"/>
              <w:right w:val="nil"/>
            </w:tcBorders>
            <w:shd w:val="clear" w:color="auto" w:fill="auto"/>
            <w:noWrap/>
            <w:vAlign w:val="center"/>
            <w:hideMark/>
          </w:tcPr>
          <w:p w14:paraId="1E0FFDFC"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668F7BAB" w14:textId="77777777" w:rsidR="00EF3714" w:rsidRPr="00EF3714" w:rsidRDefault="00EF3714" w:rsidP="00EF3714">
            <w:pPr>
              <w:spacing w:after="0" w:line="240" w:lineRule="auto"/>
              <w:rPr>
                <w:color w:val="000000"/>
              </w:rPr>
            </w:pPr>
            <w:r w:rsidRPr="00EF3714">
              <w:rPr>
                <w:color w:val="000000"/>
              </w:rPr>
              <w:t>.54</w:t>
            </w:r>
          </w:p>
        </w:tc>
        <w:tc>
          <w:tcPr>
            <w:tcW w:w="1257" w:type="dxa"/>
            <w:tcBorders>
              <w:top w:val="nil"/>
              <w:left w:val="nil"/>
              <w:bottom w:val="nil"/>
              <w:right w:val="nil"/>
            </w:tcBorders>
            <w:shd w:val="clear" w:color="auto" w:fill="auto"/>
            <w:noWrap/>
            <w:vAlign w:val="center"/>
            <w:hideMark/>
          </w:tcPr>
          <w:p w14:paraId="29884822" w14:textId="77777777" w:rsidR="00EF3714" w:rsidRPr="00EF3714" w:rsidRDefault="00EF3714" w:rsidP="00EF3714">
            <w:pPr>
              <w:spacing w:after="0" w:line="240" w:lineRule="auto"/>
              <w:rPr>
                <w:color w:val="000000"/>
              </w:rPr>
            </w:pPr>
            <w:r w:rsidRPr="00EF3714">
              <w:rPr>
                <w:color w:val="000000"/>
              </w:rPr>
              <w:t>.55</w:t>
            </w:r>
          </w:p>
        </w:tc>
      </w:tr>
      <w:tr w:rsidR="00EF3714" w:rsidRPr="00EF3714" w14:paraId="40C5BE37" w14:textId="77777777" w:rsidTr="00EF3714">
        <w:trPr>
          <w:trHeight w:val="315"/>
        </w:trPr>
        <w:tc>
          <w:tcPr>
            <w:tcW w:w="1650" w:type="dxa"/>
            <w:tcBorders>
              <w:top w:val="nil"/>
              <w:left w:val="nil"/>
              <w:bottom w:val="nil"/>
              <w:right w:val="nil"/>
            </w:tcBorders>
            <w:shd w:val="clear" w:color="auto" w:fill="auto"/>
            <w:noWrap/>
            <w:vAlign w:val="center"/>
            <w:hideMark/>
          </w:tcPr>
          <w:p w14:paraId="07F0668B" w14:textId="77777777" w:rsidR="00EF3714" w:rsidRPr="00EF3714" w:rsidRDefault="00EF3714" w:rsidP="00EF3714">
            <w:pPr>
              <w:spacing w:after="0" w:line="240" w:lineRule="auto"/>
              <w:jc w:val="left"/>
              <w:rPr>
                <w:color w:val="000000"/>
              </w:rPr>
            </w:pPr>
            <w:r w:rsidRPr="00EF3714">
              <w:rPr>
                <w:color w:val="000000"/>
              </w:rPr>
              <w:t>Spain</w:t>
            </w:r>
          </w:p>
        </w:tc>
        <w:tc>
          <w:tcPr>
            <w:tcW w:w="963" w:type="dxa"/>
            <w:tcBorders>
              <w:top w:val="nil"/>
              <w:left w:val="nil"/>
              <w:bottom w:val="nil"/>
              <w:right w:val="nil"/>
            </w:tcBorders>
            <w:shd w:val="clear" w:color="auto" w:fill="auto"/>
            <w:noWrap/>
            <w:vAlign w:val="center"/>
            <w:hideMark/>
          </w:tcPr>
          <w:p w14:paraId="2C9A8CD5"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401992E8"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3025ABB8"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303978BA"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nil"/>
              <w:right w:val="nil"/>
            </w:tcBorders>
            <w:shd w:val="clear" w:color="auto" w:fill="auto"/>
            <w:noWrap/>
            <w:vAlign w:val="center"/>
            <w:hideMark/>
          </w:tcPr>
          <w:p w14:paraId="27D94AF8"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561DC5F0" w14:textId="77777777" w:rsidR="00EF3714" w:rsidRPr="00EF3714" w:rsidRDefault="00EF3714" w:rsidP="00EF3714">
            <w:pPr>
              <w:spacing w:after="0" w:line="240" w:lineRule="auto"/>
              <w:rPr>
                <w:color w:val="000000"/>
              </w:rPr>
            </w:pPr>
            <w:r w:rsidRPr="00EF3714">
              <w:rPr>
                <w:color w:val="000000"/>
              </w:rPr>
              <w:t>.18</w:t>
            </w:r>
          </w:p>
        </w:tc>
        <w:tc>
          <w:tcPr>
            <w:tcW w:w="963" w:type="dxa"/>
            <w:tcBorders>
              <w:top w:val="nil"/>
              <w:left w:val="nil"/>
              <w:bottom w:val="nil"/>
              <w:right w:val="nil"/>
            </w:tcBorders>
            <w:shd w:val="clear" w:color="auto" w:fill="auto"/>
            <w:noWrap/>
            <w:vAlign w:val="center"/>
            <w:hideMark/>
          </w:tcPr>
          <w:p w14:paraId="4F3F6AB8" w14:textId="77777777" w:rsidR="00EF3714" w:rsidRPr="00EF3714" w:rsidRDefault="00EF3714" w:rsidP="00EF3714">
            <w:pPr>
              <w:spacing w:after="0" w:line="240" w:lineRule="auto"/>
              <w:rPr>
                <w:color w:val="000000"/>
              </w:rPr>
            </w:pPr>
            <w:r w:rsidRPr="00EF3714">
              <w:rPr>
                <w:color w:val="000000"/>
              </w:rPr>
              <w:t>.60</w:t>
            </w:r>
          </w:p>
        </w:tc>
        <w:tc>
          <w:tcPr>
            <w:tcW w:w="963" w:type="dxa"/>
            <w:tcBorders>
              <w:top w:val="nil"/>
              <w:left w:val="nil"/>
              <w:bottom w:val="nil"/>
              <w:right w:val="nil"/>
            </w:tcBorders>
            <w:shd w:val="clear" w:color="auto" w:fill="auto"/>
            <w:noWrap/>
            <w:vAlign w:val="center"/>
            <w:hideMark/>
          </w:tcPr>
          <w:p w14:paraId="4EEDE936" w14:textId="77777777" w:rsidR="00EF3714" w:rsidRPr="00EF3714" w:rsidRDefault="00EF3714" w:rsidP="00EF3714">
            <w:pPr>
              <w:spacing w:after="0" w:line="240" w:lineRule="auto"/>
              <w:rPr>
                <w:color w:val="000000"/>
              </w:rPr>
            </w:pPr>
            <w:r w:rsidRPr="00EF3714">
              <w:rPr>
                <w:color w:val="000000"/>
              </w:rPr>
              <w:t>.34</w:t>
            </w:r>
          </w:p>
        </w:tc>
        <w:tc>
          <w:tcPr>
            <w:tcW w:w="963" w:type="dxa"/>
            <w:tcBorders>
              <w:top w:val="nil"/>
              <w:left w:val="nil"/>
              <w:bottom w:val="nil"/>
              <w:right w:val="nil"/>
            </w:tcBorders>
            <w:shd w:val="clear" w:color="auto" w:fill="auto"/>
            <w:noWrap/>
            <w:vAlign w:val="center"/>
            <w:hideMark/>
          </w:tcPr>
          <w:p w14:paraId="1818AAB1" w14:textId="77777777" w:rsidR="00EF3714" w:rsidRPr="00EF3714" w:rsidRDefault="00EF3714" w:rsidP="00EF3714">
            <w:pPr>
              <w:spacing w:after="0" w:line="240" w:lineRule="auto"/>
              <w:rPr>
                <w:color w:val="000000"/>
              </w:rPr>
            </w:pPr>
            <w:r w:rsidRPr="00EF3714">
              <w:rPr>
                <w:color w:val="000000"/>
              </w:rPr>
              <w:t>.67</w:t>
            </w:r>
          </w:p>
        </w:tc>
        <w:tc>
          <w:tcPr>
            <w:tcW w:w="1257" w:type="dxa"/>
            <w:tcBorders>
              <w:top w:val="nil"/>
              <w:left w:val="nil"/>
              <w:bottom w:val="nil"/>
              <w:right w:val="nil"/>
            </w:tcBorders>
            <w:shd w:val="clear" w:color="auto" w:fill="auto"/>
            <w:noWrap/>
            <w:vAlign w:val="center"/>
            <w:hideMark/>
          </w:tcPr>
          <w:p w14:paraId="0558F543"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16FFFC52" w14:textId="77777777" w:rsidTr="00EF3714">
        <w:trPr>
          <w:trHeight w:val="315"/>
        </w:trPr>
        <w:tc>
          <w:tcPr>
            <w:tcW w:w="1650" w:type="dxa"/>
            <w:tcBorders>
              <w:top w:val="nil"/>
              <w:left w:val="nil"/>
              <w:bottom w:val="nil"/>
              <w:right w:val="nil"/>
            </w:tcBorders>
            <w:shd w:val="clear" w:color="auto" w:fill="auto"/>
            <w:noWrap/>
            <w:vAlign w:val="center"/>
            <w:hideMark/>
          </w:tcPr>
          <w:p w14:paraId="7D1F2AA1" w14:textId="77777777" w:rsidR="00EF3714" w:rsidRPr="00EF3714" w:rsidRDefault="00EF3714" w:rsidP="00EF3714">
            <w:pPr>
              <w:spacing w:after="0" w:line="240" w:lineRule="auto"/>
              <w:jc w:val="left"/>
              <w:rPr>
                <w:color w:val="000000"/>
              </w:rPr>
            </w:pPr>
            <w:r w:rsidRPr="00EF3714">
              <w:rPr>
                <w:color w:val="000000"/>
              </w:rPr>
              <w:lastRenderedPageBreak/>
              <w:t>Sweden</w:t>
            </w:r>
          </w:p>
        </w:tc>
        <w:tc>
          <w:tcPr>
            <w:tcW w:w="963" w:type="dxa"/>
            <w:tcBorders>
              <w:top w:val="nil"/>
              <w:left w:val="nil"/>
              <w:bottom w:val="nil"/>
              <w:right w:val="nil"/>
            </w:tcBorders>
            <w:shd w:val="clear" w:color="auto" w:fill="auto"/>
            <w:noWrap/>
            <w:vAlign w:val="center"/>
            <w:hideMark/>
          </w:tcPr>
          <w:p w14:paraId="2FB35CD9"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0EFDBC23" w14:textId="77777777" w:rsidR="00EF3714" w:rsidRPr="00EF3714" w:rsidRDefault="00EF3714" w:rsidP="00EF3714">
            <w:pPr>
              <w:spacing w:after="0" w:line="240" w:lineRule="auto"/>
              <w:rPr>
                <w:color w:val="000000"/>
              </w:rPr>
            </w:pPr>
            <w:r w:rsidRPr="00EF3714">
              <w:rPr>
                <w:color w:val="000000"/>
              </w:rPr>
              <w:t>.69</w:t>
            </w:r>
          </w:p>
        </w:tc>
        <w:tc>
          <w:tcPr>
            <w:tcW w:w="963" w:type="dxa"/>
            <w:tcBorders>
              <w:top w:val="nil"/>
              <w:left w:val="nil"/>
              <w:bottom w:val="nil"/>
              <w:right w:val="nil"/>
            </w:tcBorders>
            <w:shd w:val="clear" w:color="auto" w:fill="auto"/>
            <w:noWrap/>
            <w:vAlign w:val="center"/>
            <w:hideMark/>
          </w:tcPr>
          <w:p w14:paraId="3727533F"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7AB16B21"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0367C9A0" w14:textId="77777777" w:rsidR="00EF3714" w:rsidRPr="00EF3714" w:rsidRDefault="00EF3714" w:rsidP="00EF3714">
            <w:pPr>
              <w:spacing w:after="0" w:line="240" w:lineRule="auto"/>
              <w:rPr>
                <w:color w:val="000000"/>
              </w:rPr>
            </w:pPr>
            <w:r w:rsidRPr="00EF3714">
              <w:rPr>
                <w:color w:val="000000"/>
              </w:rPr>
              <w:t>.60</w:t>
            </w:r>
          </w:p>
        </w:tc>
        <w:tc>
          <w:tcPr>
            <w:tcW w:w="963" w:type="dxa"/>
            <w:tcBorders>
              <w:top w:val="nil"/>
              <w:left w:val="nil"/>
              <w:bottom w:val="nil"/>
              <w:right w:val="nil"/>
            </w:tcBorders>
            <w:shd w:val="clear" w:color="auto" w:fill="auto"/>
            <w:noWrap/>
            <w:vAlign w:val="center"/>
            <w:hideMark/>
          </w:tcPr>
          <w:p w14:paraId="3FAEC3AF" w14:textId="77777777" w:rsidR="00EF3714" w:rsidRPr="00EF3714" w:rsidRDefault="00EF3714" w:rsidP="00EF3714">
            <w:pPr>
              <w:spacing w:after="0" w:line="240" w:lineRule="auto"/>
              <w:rPr>
                <w:color w:val="000000"/>
              </w:rPr>
            </w:pPr>
            <w:r w:rsidRPr="00EF3714">
              <w:rPr>
                <w:color w:val="000000"/>
              </w:rPr>
              <w:t>.40</w:t>
            </w:r>
          </w:p>
        </w:tc>
        <w:tc>
          <w:tcPr>
            <w:tcW w:w="963" w:type="dxa"/>
            <w:tcBorders>
              <w:top w:val="nil"/>
              <w:left w:val="nil"/>
              <w:bottom w:val="nil"/>
              <w:right w:val="nil"/>
            </w:tcBorders>
            <w:shd w:val="clear" w:color="auto" w:fill="auto"/>
            <w:noWrap/>
            <w:vAlign w:val="center"/>
            <w:hideMark/>
          </w:tcPr>
          <w:p w14:paraId="2E95F222"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4976C8DC"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6D0476D6" w14:textId="77777777" w:rsidR="00EF3714" w:rsidRPr="00EF3714" w:rsidRDefault="00EF3714" w:rsidP="00EF3714">
            <w:pPr>
              <w:spacing w:after="0" w:line="240" w:lineRule="auto"/>
              <w:rPr>
                <w:color w:val="000000"/>
              </w:rPr>
            </w:pPr>
            <w:r w:rsidRPr="00EF3714">
              <w:rPr>
                <w:color w:val="000000"/>
              </w:rPr>
              <w:t>1.00</w:t>
            </w:r>
          </w:p>
        </w:tc>
        <w:tc>
          <w:tcPr>
            <w:tcW w:w="1257" w:type="dxa"/>
            <w:tcBorders>
              <w:top w:val="nil"/>
              <w:left w:val="nil"/>
              <w:bottom w:val="nil"/>
              <w:right w:val="nil"/>
            </w:tcBorders>
            <w:shd w:val="clear" w:color="auto" w:fill="auto"/>
            <w:noWrap/>
            <w:vAlign w:val="center"/>
            <w:hideMark/>
          </w:tcPr>
          <w:p w14:paraId="5F4FE48E" w14:textId="77777777" w:rsidR="00EF3714" w:rsidRPr="00EF3714" w:rsidRDefault="00EF3714" w:rsidP="00EF3714">
            <w:pPr>
              <w:spacing w:after="0" w:line="240" w:lineRule="auto"/>
              <w:rPr>
                <w:color w:val="000000"/>
              </w:rPr>
            </w:pPr>
            <w:r w:rsidRPr="00EF3714">
              <w:rPr>
                <w:color w:val="000000"/>
              </w:rPr>
              <w:t>.57</w:t>
            </w:r>
          </w:p>
        </w:tc>
      </w:tr>
      <w:tr w:rsidR="00EF3714" w:rsidRPr="00EF3714" w14:paraId="2DFDD9EE" w14:textId="77777777" w:rsidTr="00EF3714">
        <w:trPr>
          <w:trHeight w:val="315"/>
        </w:trPr>
        <w:tc>
          <w:tcPr>
            <w:tcW w:w="1650" w:type="dxa"/>
            <w:tcBorders>
              <w:top w:val="nil"/>
              <w:left w:val="nil"/>
              <w:bottom w:val="nil"/>
              <w:right w:val="nil"/>
            </w:tcBorders>
            <w:shd w:val="clear" w:color="auto" w:fill="auto"/>
            <w:noWrap/>
            <w:vAlign w:val="center"/>
            <w:hideMark/>
          </w:tcPr>
          <w:p w14:paraId="757F9C5E" w14:textId="77777777" w:rsidR="00EF3714" w:rsidRPr="00EF3714" w:rsidRDefault="00EF3714" w:rsidP="00EF3714">
            <w:pPr>
              <w:spacing w:after="0" w:line="240" w:lineRule="auto"/>
              <w:jc w:val="left"/>
              <w:rPr>
                <w:color w:val="000000"/>
              </w:rPr>
            </w:pPr>
            <w:r w:rsidRPr="00EF3714">
              <w:rPr>
                <w:color w:val="000000"/>
              </w:rPr>
              <w:t>Switzerland</w:t>
            </w:r>
          </w:p>
        </w:tc>
        <w:tc>
          <w:tcPr>
            <w:tcW w:w="963" w:type="dxa"/>
            <w:tcBorders>
              <w:top w:val="nil"/>
              <w:left w:val="nil"/>
              <w:bottom w:val="nil"/>
              <w:right w:val="nil"/>
            </w:tcBorders>
            <w:shd w:val="clear" w:color="auto" w:fill="auto"/>
            <w:noWrap/>
            <w:vAlign w:val="center"/>
            <w:hideMark/>
          </w:tcPr>
          <w:p w14:paraId="3B9EC666"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552E0175" w14:textId="77777777" w:rsidR="00EF3714" w:rsidRPr="00EF3714" w:rsidRDefault="00EF3714" w:rsidP="00EF3714">
            <w:pPr>
              <w:spacing w:after="0" w:line="240" w:lineRule="auto"/>
              <w:rPr>
                <w:color w:val="000000"/>
              </w:rPr>
            </w:pPr>
            <w:r w:rsidRPr="00EF3714">
              <w:rPr>
                <w:color w:val="000000"/>
              </w:rPr>
              <w:t>.45</w:t>
            </w:r>
          </w:p>
        </w:tc>
        <w:tc>
          <w:tcPr>
            <w:tcW w:w="963" w:type="dxa"/>
            <w:tcBorders>
              <w:top w:val="nil"/>
              <w:left w:val="nil"/>
              <w:bottom w:val="nil"/>
              <w:right w:val="nil"/>
            </w:tcBorders>
            <w:shd w:val="clear" w:color="auto" w:fill="auto"/>
            <w:noWrap/>
            <w:vAlign w:val="center"/>
            <w:hideMark/>
          </w:tcPr>
          <w:p w14:paraId="60FACD81"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10AAAC34" w14:textId="77777777" w:rsidR="00EF3714" w:rsidRPr="00EF3714" w:rsidRDefault="00EF3714" w:rsidP="00EF3714">
            <w:pPr>
              <w:spacing w:after="0" w:line="240" w:lineRule="auto"/>
              <w:rPr>
                <w:color w:val="000000"/>
              </w:rPr>
            </w:pPr>
            <w:r w:rsidRPr="00EF3714">
              <w:rPr>
                <w:color w:val="000000"/>
              </w:rPr>
              <w:t>.17</w:t>
            </w:r>
          </w:p>
        </w:tc>
        <w:tc>
          <w:tcPr>
            <w:tcW w:w="963" w:type="dxa"/>
            <w:tcBorders>
              <w:top w:val="nil"/>
              <w:left w:val="nil"/>
              <w:bottom w:val="nil"/>
              <w:right w:val="nil"/>
            </w:tcBorders>
            <w:shd w:val="clear" w:color="auto" w:fill="auto"/>
            <w:noWrap/>
            <w:vAlign w:val="center"/>
            <w:hideMark/>
          </w:tcPr>
          <w:p w14:paraId="7E9CEE4D" w14:textId="77777777" w:rsidR="00EF3714" w:rsidRPr="00EF3714" w:rsidRDefault="00EF3714" w:rsidP="00EF3714">
            <w:pPr>
              <w:spacing w:after="0" w:line="240" w:lineRule="auto"/>
              <w:rPr>
                <w:color w:val="000000"/>
              </w:rPr>
            </w:pPr>
            <w:r w:rsidRPr="00EF3714">
              <w:rPr>
                <w:color w:val="000000"/>
              </w:rPr>
              <w:t>.84</w:t>
            </w:r>
          </w:p>
        </w:tc>
        <w:tc>
          <w:tcPr>
            <w:tcW w:w="963" w:type="dxa"/>
            <w:tcBorders>
              <w:top w:val="nil"/>
              <w:left w:val="nil"/>
              <w:bottom w:val="nil"/>
              <w:right w:val="nil"/>
            </w:tcBorders>
            <w:shd w:val="clear" w:color="auto" w:fill="auto"/>
            <w:noWrap/>
            <w:vAlign w:val="center"/>
            <w:hideMark/>
          </w:tcPr>
          <w:p w14:paraId="656EEEA4" w14:textId="77777777" w:rsidR="00EF3714" w:rsidRPr="00EF3714" w:rsidRDefault="00EF3714" w:rsidP="00EF3714">
            <w:pPr>
              <w:spacing w:after="0" w:line="240" w:lineRule="auto"/>
              <w:rPr>
                <w:color w:val="000000"/>
              </w:rPr>
            </w:pPr>
            <w:r w:rsidRPr="00EF3714">
              <w:rPr>
                <w:color w:val="000000"/>
              </w:rPr>
              <w:t>.18</w:t>
            </w:r>
          </w:p>
        </w:tc>
        <w:tc>
          <w:tcPr>
            <w:tcW w:w="963" w:type="dxa"/>
            <w:tcBorders>
              <w:top w:val="nil"/>
              <w:left w:val="nil"/>
              <w:bottom w:val="nil"/>
              <w:right w:val="nil"/>
            </w:tcBorders>
            <w:shd w:val="clear" w:color="auto" w:fill="auto"/>
            <w:noWrap/>
            <w:vAlign w:val="center"/>
            <w:hideMark/>
          </w:tcPr>
          <w:p w14:paraId="6BC5EE5B"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2355FEAA" w14:textId="77777777" w:rsidR="00EF3714" w:rsidRPr="00EF3714" w:rsidRDefault="00EF3714" w:rsidP="00EF3714">
            <w:pPr>
              <w:spacing w:after="0" w:line="240" w:lineRule="auto"/>
              <w:rPr>
                <w:color w:val="000000"/>
              </w:rPr>
            </w:pPr>
            <w:r w:rsidRPr="00EF3714">
              <w:rPr>
                <w:color w:val="000000"/>
              </w:rPr>
              <w:t>.47</w:t>
            </w:r>
          </w:p>
        </w:tc>
        <w:tc>
          <w:tcPr>
            <w:tcW w:w="963" w:type="dxa"/>
            <w:tcBorders>
              <w:top w:val="nil"/>
              <w:left w:val="nil"/>
              <w:bottom w:val="nil"/>
              <w:right w:val="nil"/>
            </w:tcBorders>
            <w:shd w:val="clear" w:color="auto" w:fill="auto"/>
            <w:noWrap/>
            <w:vAlign w:val="center"/>
            <w:hideMark/>
          </w:tcPr>
          <w:p w14:paraId="35177EEC" w14:textId="77777777" w:rsidR="00EF3714" w:rsidRPr="00EF3714" w:rsidRDefault="00EF3714" w:rsidP="00EF3714">
            <w:pPr>
              <w:spacing w:after="0" w:line="240" w:lineRule="auto"/>
              <w:rPr>
                <w:color w:val="000000"/>
              </w:rPr>
            </w:pPr>
            <w:r w:rsidRPr="00EF3714">
              <w:rPr>
                <w:color w:val="000000"/>
              </w:rPr>
              <w:t>.61</w:t>
            </w:r>
          </w:p>
        </w:tc>
        <w:tc>
          <w:tcPr>
            <w:tcW w:w="1257" w:type="dxa"/>
            <w:tcBorders>
              <w:top w:val="nil"/>
              <w:left w:val="nil"/>
              <w:bottom w:val="nil"/>
              <w:right w:val="nil"/>
            </w:tcBorders>
            <w:shd w:val="clear" w:color="auto" w:fill="auto"/>
            <w:noWrap/>
            <w:vAlign w:val="center"/>
            <w:hideMark/>
          </w:tcPr>
          <w:p w14:paraId="616D024B"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5379F15D" w14:textId="77777777" w:rsidTr="00EF3714">
        <w:trPr>
          <w:trHeight w:val="315"/>
        </w:trPr>
        <w:tc>
          <w:tcPr>
            <w:tcW w:w="1650" w:type="dxa"/>
            <w:tcBorders>
              <w:top w:val="nil"/>
              <w:left w:val="nil"/>
              <w:bottom w:val="nil"/>
              <w:right w:val="nil"/>
            </w:tcBorders>
            <w:shd w:val="clear" w:color="auto" w:fill="auto"/>
            <w:noWrap/>
            <w:vAlign w:val="center"/>
            <w:hideMark/>
          </w:tcPr>
          <w:p w14:paraId="7E9E3B66" w14:textId="77777777" w:rsidR="00EF3714" w:rsidRPr="00EF3714" w:rsidRDefault="00EF3714" w:rsidP="00EF3714">
            <w:pPr>
              <w:spacing w:after="0" w:line="240" w:lineRule="auto"/>
              <w:jc w:val="left"/>
              <w:rPr>
                <w:color w:val="000000"/>
              </w:rPr>
            </w:pPr>
            <w:r w:rsidRPr="00EF3714">
              <w:rPr>
                <w:color w:val="000000"/>
              </w:rPr>
              <w:t>Taiwan</w:t>
            </w:r>
          </w:p>
        </w:tc>
        <w:tc>
          <w:tcPr>
            <w:tcW w:w="963" w:type="dxa"/>
            <w:tcBorders>
              <w:top w:val="nil"/>
              <w:left w:val="nil"/>
              <w:bottom w:val="nil"/>
              <w:right w:val="nil"/>
            </w:tcBorders>
            <w:shd w:val="clear" w:color="auto" w:fill="auto"/>
            <w:noWrap/>
            <w:vAlign w:val="center"/>
            <w:hideMark/>
          </w:tcPr>
          <w:p w14:paraId="1759C440" w14:textId="77777777" w:rsidR="00EF3714" w:rsidRPr="00EF3714" w:rsidRDefault="00EF3714" w:rsidP="00EF3714">
            <w:pPr>
              <w:spacing w:after="0" w:line="240" w:lineRule="auto"/>
              <w:rPr>
                <w:color w:val="000000"/>
              </w:rPr>
            </w:pPr>
            <w:r w:rsidRPr="00EF3714">
              <w:rPr>
                <w:color w:val="000000"/>
              </w:rPr>
              <w:t>.42</w:t>
            </w:r>
          </w:p>
        </w:tc>
        <w:tc>
          <w:tcPr>
            <w:tcW w:w="963" w:type="dxa"/>
            <w:tcBorders>
              <w:top w:val="nil"/>
              <w:left w:val="nil"/>
              <w:bottom w:val="nil"/>
              <w:right w:val="nil"/>
            </w:tcBorders>
            <w:shd w:val="clear" w:color="auto" w:fill="auto"/>
            <w:noWrap/>
            <w:vAlign w:val="center"/>
            <w:hideMark/>
          </w:tcPr>
          <w:p w14:paraId="69CA7907"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17920113"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573FEF39"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nil"/>
              <w:right w:val="nil"/>
            </w:tcBorders>
            <w:shd w:val="clear" w:color="auto" w:fill="auto"/>
            <w:noWrap/>
            <w:vAlign w:val="center"/>
            <w:hideMark/>
          </w:tcPr>
          <w:p w14:paraId="4AC935D3"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2422AA82" w14:textId="77777777" w:rsidR="00EF3714" w:rsidRPr="00EF3714" w:rsidRDefault="00EF3714" w:rsidP="00EF3714">
            <w:pPr>
              <w:spacing w:after="0" w:line="240" w:lineRule="auto"/>
              <w:rPr>
                <w:color w:val="000000"/>
              </w:rPr>
            </w:pPr>
            <w:r w:rsidRPr="00EF3714">
              <w:rPr>
                <w:color w:val="000000"/>
              </w:rPr>
              <w:t>.26</w:t>
            </w:r>
          </w:p>
        </w:tc>
        <w:tc>
          <w:tcPr>
            <w:tcW w:w="963" w:type="dxa"/>
            <w:tcBorders>
              <w:top w:val="nil"/>
              <w:left w:val="nil"/>
              <w:bottom w:val="nil"/>
              <w:right w:val="nil"/>
            </w:tcBorders>
            <w:shd w:val="clear" w:color="auto" w:fill="auto"/>
            <w:noWrap/>
            <w:vAlign w:val="center"/>
            <w:hideMark/>
          </w:tcPr>
          <w:p w14:paraId="60F4024F" w14:textId="77777777" w:rsidR="00EF3714" w:rsidRPr="00EF3714" w:rsidRDefault="00EF3714" w:rsidP="00EF3714">
            <w:pPr>
              <w:spacing w:after="0" w:line="240" w:lineRule="auto"/>
              <w:rPr>
                <w:color w:val="000000"/>
              </w:rPr>
            </w:pPr>
            <w:r w:rsidRPr="00EF3714">
              <w:rPr>
                <w:color w:val="000000"/>
              </w:rPr>
              <w:t>.69</w:t>
            </w:r>
          </w:p>
        </w:tc>
        <w:tc>
          <w:tcPr>
            <w:tcW w:w="963" w:type="dxa"/>
            <w:tcBorders>
              <w:top w:val="nil"/>
              <w:left w:val="nil"/>
              <w:bottom w:val="nil"/>
              <w:right w:val="nil"/>
            </w:tcBorders>
            <w:shd w:val="clear" w:color="auto" w:fill="auto"/>
            <w:noWrap/>
            <w:vAlign w:val="center"/>
            <w:hideMark/>
          </w:tcPr>
          <w:p w14:paraId="0C097CAD"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6300A282" w14:textId="77777777" w:rsidR="00EF3714" w:rsidRPr="00EF3714" w:rsidRDefault="00EF3714" w:rsidP="00EF3714">
            <w:pPr>
              <w:spacing w:after="0" w:line="240" w:lineRule="auto"/>
              <w:rPr>
                <w:color w:val="000000"/>
              </w:rPr>
            </w:pPr>
            <w:r w:rsidRPr="00EF3714">
              <w:rPr>
                <w:color w:val="000000"/>
              </w:rPr>
              <w:t>.66</w:t>
            </w:r>
          </w:p>
        </w:tc>
        <w:tc>
          <w:tcPr>
            <w:tcW w:w="1257" w:type="dxa"/>
            <w:tcBorders>
              <w:top w:val="nil"/>
              <w:left w:val="nil"/>
              <w:bottom w:val="nil"/>
              <w:right w:val="nil"/>
            </w:tcBorders>
            <w:shd w:val="clear" w:color="auto" w:fill="auto"/>
            <w:noWrap/>
            <w:vAlign w:val="center"/>
            <w:hideMark/>
          </w:tcPr>
          <w:p w14:paraId="2A672EC4" w14:textId="77777777" w:rsidR="00EF3714" w:rsidRPr="00EF3714" w:rsidRDefault="00EF3714" w:rsidP="00EF3714">
            <w:pPr>
              <w:spacing w:after="0" w:line="240" w:lineRule="auto"/>
              <w:rPr>
                <w:color w:val="000000"/>
              </w:rPr>
            </w:pPr>
            <w:r w:rsidRPr="00EF3714">
              <w:rPr>
                <w:color w:val="000000"/>
              </w:rPr>
              <w:t>.48</w:t>
            </w:r>
          </w:p>
        </w:tc>
      </w:tr>
      <w:tr w:rsidR="00EF3714" w:rsidRPr="00EF3714" w14:paraId="5283B25F" w14:textId="77777777" w:rsidTr="00EF3714">
        <w:trPr>
          <w:trHeight w:val="315"/>
        </w:trPr>
        <w:tc>
          <w:tcPr>
            <w:tcW w:w="1650" w:type="dxa"/>
            <w:tcBorders>
              <w:top w:val="nil"/>
              <w:left w:val="nil"/>
              <w:bottom w:val="nil"/>
              <w:right w:val="nil"/>
            </w:tcBorders>
            <w:shd w:val="clear" w:color="auto" w:fill="auto"/>
            <w:noWrap/>
            <w:vAlign w:val="center"/>
            <w:hideMark/>
          </w:tcPr>
          <w:p w14:paraId="082D66AA" w14:textId="77777777" w:rsidR="00EF3714" w:rsidRPr="00EF3714" w:rsidRDefault="00EF3714" w:rsidP="00EF3714">
            <w:pPr>
              <w:spacing w:after="0" w:line="240" w:lineRule="auto"/>
              <w:jc w:val="left"/>
              <w:rPr>
                <w:color w:val="000000"/>
              </w:rPr>
            </w:pPr>
            <w:r w:rsidRPr="00EF3714">
              <w:rPr>
                <w:color w:val="000000"/>
              </w:rPr>
              <w:t>Thailand</w:t>
            </w:r>
          </w:p>
        </w:tc>
        <w:tc>
          <w:tcPr>
            <w:tcW w:w="963" w:type="dxa"/>
            <w:tcBorders>
              <w:top w:val="nil"/>
              <w:left w:val="nil"/>
              <w:bottom w:val="nil"/>
              <w:right w:val="nil"/>
            </w:tcBorders>
            <w:shd w:val="clear" w:color="auto" w:fill="auto"/>
            <w:noWrap/>
            <w:vAlign w:val="center"/>
            <w:hideMark/>
          </w:tcPr>
          <w:p w14:paraId="50C82E1F"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2A9E351A" w14:textId="77777777" w:rsidR="00EF3714" w:rsidRPr="00EF3714" w:rsidRDefault="00EF3714" w:rsidP="00EF3714">
            <w:pPr>
              <w:spacing w:after="0" w:line="240" w:lineRule="auto"/>
              <w:rPr>
                <w:color w:val="000000"/>
              </w:rPr>
            </w:pPr>
            <w:r w:rsidRPr="00EF3714">
              <w:rPr>
                <w:color w:val="000000"/>
              </w:rPr>
              <w:t>.90</w:t>
            </w:r>
          </w:p>
        </w:tc>
        <w:tc>
          <w:tcPr>
            <w:tcW w:w="963" w:type="dxa"/>
            <w:tcBorders>
              <w:top w:val="nil"/>
              <w:left w:val="nil"/>
              <w:bottom w:val="nil"/>
              <w:right w:val="nil"/>
            </w:tcBorders>
            <w:shd w:val="clear" w:color="auto" w:fill="auto"/>
            <w:noWrap/>
            <w:vAlign w:val="center"/>
            <w:hideMark/>
          </w:tcPr>
          <w:p w14:paraId="1267F81F" w14:textId="77777777" w:rsidR="00EF3714" w:rsidRPr="00EF3714" w:rsidRDefault="00EF3714" w:rsidP="00EF3714">
            <w:pPr>
              <w:spacing w:after="0" w:line="240" w:lineRule="auto"/>
              <w:rPr>
                <w:color w:val="000000"/>
              </w:rPr>
            </w:pPr>
            <w:r w:rsidRPr="00EF3714">
              <w:rPr>
                <w:color w:val="000000"/>
              </w:rPr>
              <w:t>.30</w:t>
            </w:r>
          </w:p>
        </w:tc>
        <w:tc>
          <w:tcPr>
            <w:tcW w:w="963" w:type="dxa"/>
            <w:tcBorders>
              <w:top w:val="nil"/>
              <w:left w:val="nil"/>
              <w:bottom w:val="nil"/>
              <w:right w:val="nil"/>
            </w:tcBorders>
            <w:shd w:val="clear" w:color="auto" w:fill="auto"/>
            <w:noWrap/>
            <w:vAlign w:val="center"/>
            <w:hideMark/>
          </w:tcPr>
          <w:p w14:paraId="39A6704A"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412E951C"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nil"/>
              <w:right w:val="nil"/>
            </w:tcBorders>
            <w:shd w:val="clear" w:color="auto" w:fill="auto"/>
            <w:noWrap/>
            <w:vAlign w:val="center"/>
            <w:hideMark/>
          </w:tcPr>
          <w:p w14:paraId="331B1EED"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327E3613" w14:textId="77777777" w:rsidR="00EF3714" w:rsidRPr="00EF3714" w:rsidRDefault="00EF3714" w:rsidP="00EF3714">
            <w:pPr>
              <w:spacing w:after="0" w:line="240" w:lineRule="auto"/>
              <w:rPr>
                <w:color w:val="000000"/>
              </w:rPr>
            </w:pPr>
            <w:r w:rsidRPr="00EF3714">
              <w:rPr>
                <w:color w:val="000000"/>
              </w:rPr>
              <w:t>.73</w:t>
            </w:r>
          </w:p>
        </w:tc>
        <w:tc>
          <w:tcPr>
            <w:tcW w:w="963" w:type="dxa"/>
            <w:tcBorders>
              <w:top w:val="nil"/>
              <w:left w:val="nil"/>
              <w:bottom w:val="nil"/>
              <w:right w:val="nil"/>
            </w:tcBorders>
            <w:shd w:val="clear" w:color="auto" w:fill="auto"/>
            <w:noWrap/>
            <w:vAlign w:val="center"/>
            <w:hideMark/>
          </w:tcPr>
          <w:p w14:paraId="2EED57C9" w14:textId="77777777" w:rsidR="00EF3714" w:rsidRPr="00EF3714" w:rsidRDefault="00EF3714" w:rsidP="00EF3714">
            <w:pPr>
              <w:spacing w:after="0" w:line="240" w:lineRule="auto"/>
              <w:rPr>
                <w:color w:val="000000"/>
              </w:rPr>
            </w:pPr>
            <w:r w:rsidRPr="00EF3714">
              <w:rPr>
                <w:color w:val="000000"/>
              </w:rPr>
              <w:t>.53</w:t>
            </w:r>
          </w:p>
        </w:tc>
        <w:tc>
          <w:tcPr>
            <w:tcW w:w="963" w:type="dxa"/>
            <w:tcBorders>
              <w:top w:val="nil"/>
              <w:left w:val="nil"/>
              <w:bottom w:val="nil"/>
              <w:right w:val="nil"/>
            </w:tcBorders>
            <w:shd w:val="clear" w:color="auto" w:fill="auto"/>
            <w:noWrap/>
            <w:vAlign w:val="center"/>
            <w:hideMark/>
          </w:tcPr>
          <w:p w14:paraId="624D8E89" w14:textId="77777777" w:rsidR="00EF3714" w:rsidRPr="00EF3714" w:rsidRDefault="00EF3714" w:rsidP="00EF3714">
            <w:pPr>
              <w:spacing w:after="0" w:line="240" w:lineRule="auto"/>
              <w:rPr>
                <w:color w:val="000000"/>
              </w:rPr>
            </w:pPr>
            <w:r w:rsidRPr="00EF3714">
              <w:rPr>
                <w:color w:val="000000"/>
              </w:rPr>
              <w:t>.59</w:t>
            </w:r>
          </w:p>
        </w:tc>
        <w:tc>
          <w:tcPr>
            <w:tcW w:w="1257" w:type="dxa"/>
            <w:tcBorders>
              <w:top w:val="nil"/>
              <w:left w:val="nil"/>
              <w:bottom w:val="nil"/>
              <w:right w:val="nil"/>
            </w:tcBorders>
            <w:shd w:val="clear" w:color="auto" w:fill="auto"/>
            <w:noWrap/>
            <w:vAlign w:val="center"/>
            <w:hideMark/>
          </w:tcPr>
          <w:p w14:paraId="546219C6" w14:textId="77777777" w:rsidR="00EF3714" w:rsidRPr="00EF3714" w:rsidRDefault="00EF3714" w:rsidP="00EF3714">
            <w:pPr>
              <w:spacing w:after="0" w:line="240" w:lineRule="auto"/>
              <w:rPr>
                <w:color w:val="000000"/>
              </w:rPr>
            </w:pPr>
            <w:r w:rsidRPr="00EF3714">
              <w:rPr>
                <w:color w:val="000000"/>
              </w:rPr>
              <w:t>.57</w:t>
            </w:r>
          </w:p>
        </w:tc>
      </w:tr>
      <w:tr w:rsidR="00EF3714" w:rsidRPr="00EF3714" w14:paraId="4B157494" w14:textId="77777777" w:rsidTr="00EF3714">
        <w:trPr>
          <w:trHeight w:val="315"/>
        </w:trPr>
        <w:tc>
          <w:tcPr>
            <w:tcW w:w="1650" w:type="dxa"/>
            <w:tcBorders>
              <w:top w:val="nil"/>
              <w:left w:val="nil"/>
              <w:bottom w:val="nil"/>
              <w:right w:val="nil"/>
            </w:tcBorders>
            <w:shd w:val="clear" w:color="auto" w:fill="auto"/>
            <w:noWrap/>
            <w:vAlign w:val="center"/>
            <w:hideMark/>
          </w:tcPr>
          <w:p w14:paraId="215EC081" w14:textId="77777777" w:rsidR="00EF3714" w:rsidRPr="00EF3714" w:rsidRDefault="00EF3714" w:rsidP="00EF3714">
            <w:pPr>
              <w:spacing w:after="0" w:line="240" w:lineRule="auto"/>
              <w:jc w:val="left"/>
              <w:rPr>
                <w:color w:val="000000"/>
              </w:rPr>
            </w:pPr>
            <w:r w:rsidRPr="00EF3714">
              <w:rPr>
                <w:color w:val="000000"/>
              </w:rPr>
              <w:t>Turkey</w:t>
            </w:r>
          </w:p>
        </w:tc>
        <w:tc>
          <w:tcPr>
            <w:tcW w:w="963" w:type="dxa"/>
            <w:tcBorders>
              <w:top w:val="nil"/>
              <w:left w:val="nil"/>
              <w:bottom w:val="nil"/>
              <w:right w:val="nil"/>
            </w:tcBorders>
            <w:shd w:val="clear" w:color="auto" w:fill="auto"/>
            <w:noWrap/>
            <w:vAlign w:val="center"/>
            <w:hideMark/>
          </w:tcPr>
          <w:p w14:paraId="4B0BCE1C"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1EEED952"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4C13EDC3" w14:textId="77777777" w:rsidR="00EF3714" w:rsidRPr="00EF3714" w:rsidRDefault="00EF3714" w:rsidP="00EF3714">
            <w:pPr>
              <w:spacing w:after="0" w:line="240" w:lineRule="auto"/>
              <w:rPr>
                <w:color w:val="000000"/>
              </w:rPr>
            </w:pPr>
            <w:r w:rsidRPr="00EF3714">
              <w:rPr>
                <w:color w:val="000000"/>
              </w:rPr>
              <w:t>.29</w:t>
            </w:r>
          </w:p>
        </w:tc>
        <w:tc>
          <w:tcPr>
            <w:tcW w:w="963" w:type="dxa"/>
            <w:tcBorders>
              <w:top w:val="nil"/>
              <w:left w:val="nil"/>
              <w:bottom w:val="nil"/>
              <w:right w:val="nil"/>
            </w:tcBorders>
            <w:shd w:val="clear" w:color="auto" w:fill="auto"/>
            <w:noWrap/>
            <w:vAlign w:val="center"/>
            <w:hideMark/>
          </w:tcPr>
          <w:p w14:paraId="33953CEA" w14:textId="77777777" w:rsidR="00EF3714" w:rsidRPr="00EF3714" w:rsidRDefault="00EF3714" w:rsidP="00EF3714">
            <w:pPr>
              <w:spacing w:after="0" w:line="240" w:lineRule="auto"/>
              <w:rPr>
                <w:color w:val="000000"/>
              </w:rPr>
            </w:pPr>
            <w:r w:rsidRPr="00EF3714">
              <w:rPr>
                <w:color w:val="000000"/>
              </w:rPr>
              <w:t>.19</w:t>
            </w:r>
          </w:p>
        </w:tc>
        <w:tc>
          <w:tcPr>
            <w:tcW w:w="963" w:type="dxa"/>
            <w:tcBorders>
              <w:top w:val="nil"/>
              <w:left w:val="nil"/>
              <w:bottom w:val="nil"/>
              <w:right w:val="nil"/>
            </w:tcBorders>
            <w:shd w:val="clear" w:color="auto" w:fill="auto"/>
            <w:noWrap/>
            <w:vAlign w:val="center"/>
            <w:hideMark/>
          </w:tcPr>
          <w:p w14:paraId="7F4EA622" w14:textId="77777777" w:rsidR="00EF3714" w:rsidRPr="00EF3714" w:rsidRDefault="00EF3714" w:rsidP="00EF3714">
            <w:pPr>
              <w:spacing w:after="0" w:line="240" w:lineRule="auto"/>
              <w:rPr>
                <w:color w:val="000000"/>
              </w:rPr>
            </w:pPr>
            <w:r w:rsidRPr="00EF3714">
              <w:rPr>
                <w:color w:val="000000"/>
              </w:rPr>
              <w:t>.66</w:t>
            </w:r>
          </w:p>
        </w:tc>
        <w:tc>
          <w:tcPr>
            <w:tcW w:w="963" w:type="dxa"/>
            <w:tcBorders>
              <w:top w:val="nil"/>
              <w:left w:val="nil"/>
              <w:bottom w:val="nil"/>
              <w:right w:val="nil"/>
            </w:tcBorders>
            <w:shd w:val="clear" w:color="auto" w:fill="auto"/>
            <w:noWrap/>
            <w:vAlign w:val="center"/>
            <w:hideMark/>
          </w:tcPr>
          <w:p w14:paraId="07487159"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013114B7" w14:textId="77777777" w:rsidR="00EF3714" w:rsidRPr="00EF3714" w:rsidRDefault="00EF3714" w:rsidP="00EF3714">
            <w:pPr>
              <w:spacing w:after="0" w:line="240" w:lineRule="auto"/>
              <w:rPr>
                <w:color w:val="000000"/>
              </w:rPr>
            </w:pPr>
            <w:r w:rsidRPr="00EF3714">
              <w:rPr>
                <w:color w:val="000000"/>
              </w:rPr>
              <w:t>.63</w:t>
            </w:r>
          </w:p>
        </w:tc>
        <w:tc>
          <w:tcPr>
            <w:tcW w:w="963" w:type="dxa"/>
            <w:tcBorders>
              <w:top w:val="nil"/>
              <w:left w:val="nil"/>
              <w:bottom w:val="nil"/>
              <w:right w:val="nil"/>
            </w:tcBorders>
            <w:shd w:val="clear" w:color="auto" w:fill="auto"/>
            <w:noWrap/>
            <w:vAlign w:val="center"/>
            <w:hideMark/>
          </w:tcPr>
          <w:p w14:paraId="52F4587E"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02F3B378" w14:textId="77777777" w:rsidR="00EF3714" w:rsidRPr="00EF3714" w:rsidRDefault="00EF3714" w:rsidP="00EF3714">
            <w:pPr>
              <w:spacing w:after="0" w:line="240" w:lineRule="auto"/>
              <w:rPr>
                <w:color w:val="000000"/>
              </w:rPr>
            </w:pPr>
            <w:r w:rsidRPr="00EF3714">
              <w:rPr>
                <w:color w:val="000000"/>
              </w:rPr>
              <w:t>.70</w:t>
            </w:r>
          </w:p>
        </w:tc>
        <w:tc>
          <w:tcPr>
            <w:tcW w:w="1257" w:type="dxa"/>
            <w:tcBorders>
              <w:top w:val="nil"/>
              <w:left w:val="nil"/>
              <w:bottom w:val="nil"/>
              <w:right w:val="nil"/>
            </w:tcBorders>
            <w:shd w:val="clear" w:color="auto" w:fill="auto"/>
            <w:noWrap/>
            <w:vAlign w:val="center"/>
            <w:hideMark/>
          </w:tcPr>
          <w:p w14:paraId="5A38AB6E"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1E2CF70F" w14:textId="77777777" w:rsidTr="00EF3714">
        <w:trPr>
          <w:trHeight w:val="315"/>
        </w:trPr>
        <w:tc>
          <w:tcPr>
            <w:tcW w:w="1650" w:type="dxa"/>
            <w:tcBorders>
              <w:top w:val="nil"/>
              <w:left w:val="nil"/>
              <w:bottom w:val="nil"/>
              <w:right w:val="nil"/>
            </w:tcBorders>
            <w:shd w:val="clear" w:color="auto" w:fill="auto"/>
            <w:noWrap/>
            <w:vAlign w:val="center"/>
            <w:hideMark/>
          </w:tcPr>
          <w:p w14:paraId="1126258A" w14:textId="77777777" w:rsidR="00EF3714" w:rsidRPr="00EF3714" w:rsidRDefault="00EF3714" w:rsidP="00EF3714">
            <w:pPr>
              <w:spacing w:after="0" w:line="240" w:lineRule="auto"/>
              <w:jc w:val="left"/>
              <w:rPr>
                <w:color w:val="000000"/>
              </w:rPr>
            </w:pPr>
            <w:r w:rsidRPr="00EF3714">
              <w:rPr>
                <w:color w:val="000000"/>
              </w:rPr>
              <w:t>Uganda</w:t>
            </w:r>
          </w:p>
        </w:tc>
        <w:tc>
          <w:tcPr>
            <w:tcW w:w="963" w:type="dxa"/>
            <w:tcBorders>
              <w:top w:val="nil"/>
              <w:left w:val="nil"/>
              <w:bottom w:val="nil"/>
              <w:right w:val="nil"/>
            </w:tcBorders>
            <w:shd w:val="clear" w:color="auto" w:fill="auto"/>
            <w:noWrap/>
            <w:vAlign w:val="center"/>
            <w:hideMark/>
          </w:tcPr>
          <w:p w14:paraId="7F7AD574"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265BB76E" w14:textId="77777777" w:rsidR="00EF3714" w:rsidRPr="00EF3714" w:rsidRDefault="00EF3714" w:rsidP="00EF3714">
            <w:pPr>
              <w:spacing w:after="0" w:line="240" w:lineRule="auto"/>
              <w:rPr>
                <w:color w:val="000000"/>
              </w:rPr>
            </w:pPr>
            <w:r w:rsidRPr="00EF3714">
              <w:rPr>
                <w:color w:val="000000"/>
              </w:rPr>
              <w:t>.36</w:t>
            </w:r>
          </w:p>
        </w:tc>
        <w:tc>
          <w:tcPr>
            <w:tcW w:w="963" w:type="dxa"/>
            <w:tcBorders>
              <w:top w:val="nil"/>
              <w:left w:val="nil"/>
              <w:bottom w:val="nil"/>
              <w:right w:val="nil"/>
            </w:tcBorders>
            <w:shd w:val="clear" w:color="auto" w:fill="auto"/>
            <w:noWrap/>
            <w:vAlign w:val="center"/>
            <w:hideMark/>
          </w:tcPr>
          <w:p w14:paraId="2798CD35" w14:textId="77777777" w:rsidR="00EF3714" w:rsidRPr="00EF3714" w:rsidRDefault="00EF3714" w:rsidP="00EF3714">
            <w:pPr>
              <w:spacing w:after="0" w:line="240" w:lineRule="auto"/>
              <w:rPr>
                <w:color w:val="000000"/>
              </w:rPr>
            </w:pPr>
            <w:r w:rsidRPr="00EF3714">
              <w:rPr>
                <w:color w:val="000000"/>
              </w:rPr>
              <w:t>.11</w:t>
            </w:r>
          </w:p>
        </w:tc>
        <w:tc>
          <w:tcPr>
            <w:tcW w:w="963" w:type="dxa"/>
            <w:tcBorders>
              <w:top w:val="nil"/>
              <w:left w:val="nil"/>
              <w:bottom w:val="nil"/>
              <w:right w:val="nil"/>
            </w:tcBorders>
            <w:shd w:val="clear" w:color="auto" w:fill="auto"/>
            <w:noWrap/>
            <w:vAlign w:val="center"/>
            <w:hideMark/>
          </w:tcPr>
          <w:p w14:paraId="2C05205B"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5BB6FC14" w14:textId="77777777" w:rsidR="00EF3714" w:rsidRPr="00EF3714" w:rsidRDefault="00EF3714" w:rsidP="00EF3714">
            <w:pPr>
              <w:spacing w:after="0" w:line="240" w:lineRule="auto"/>
              <w:rPr>
                <w:color w:val="000000"/>
              </w:rPr>
            </w:pPr>
            <w:r w:rsidRPr="00EF3714">
              <w:rPr>
                <w:color w:val="000000"/>
              </w:rPr>
              <w:t>.59</w:t>
            </w:r>
          </w:p>
        </w:tc>
        <w:tc>
          <w:tcPr>
            <w:tcW w:w="963" w:type="dxa"/>
            <w:tcBorders>
              <w:top w:val="nil"/>
              <w:left w:val="nil"/>
              <w:bottom w:val="nil"/>
              <w:right w:val="nil"/>
            </w:tcBorders>
            <w:shd w:val="clear" w:color="auto" w:fill="auto"/>
            <w:noWrap/>
            <w:vAlign w:val="center"/>
            <w:hideMark/>
          </w:tcPr>
          <w:p w14:paraId="15F16DE0" w14:textId="77777777" w:rsidR="00EF3714" w:rsidRPr="00EF3714" w:rsidRDefault="00EF3714" w:rsidP="00EF3714">
            <w:pPr>
              <w:spacing w:after="0" w:line="240" w:lineRule="auto"/>
              <w:rPr>
                <w:color w:val="000000"/>
              </w:rPr>
            </w:pPr>
            <w:r w:rsidRPr="00EF3714">
              <w:rPr>
                <w:color w:val="000000"/>
              </w:rPr>
              <w:t>.13</w:t>
            </w:r>
          </w:p>
        </w:tc>
        <w:tc>
          <w:tcPr>
            <w:tcW w:w="963" w:type="dxa"/>
            <w:tcBorders>
              <w:top w:val="nil"/>
              <w:left w:val="nil"/>
              <w:bottom w:val="nil"/>
              <w:right w:val="nil"/>
            </w:tcBorders>
            <w:shd w:val="clear" w:color="auto" w:fill="auto"/>
            <w:noWrap/>
            <w:vAlign w:val="center"/>
            <w:hideMark/>
          </w:tcPr>
          <w:p w14:paraId="6A10DF59" w14:textId="77777777" w:rsidR="00EF3714" w:rsidRPr="00EF3714" w:rsidRDefault="00EF3714" w:rsidP="00EF3714">
            <w:pPr>
              <w:spacing w:after="0" w:line="240" w:lineRule="auto"/>
              <w:rPr>
                <w:color w:val="000000"/>
              </w:rPr>
            </w:pPr>
            <w:r w:rsidRPr="00EF3714">
              <w:rPr>
                <w:color w:val="000000"/>
              </w:rPr>
              <w:t>.38</w:t>
            </w:r>
          </w:p>
        </w:tc>
        <w:tc>
          <w:tcPr>
            <w:tcW w:w="963" w:type="dxa"/>
            <w:tcBorders>
              <w:top w:val="nil"/>
              <w:left w:val="nil"/>
              <w:bottom w:val="nil"/>
              <w:right w:val="nil"/>
            </w:tcBorders>
            <w:shd w:val="clear" w:color="auto" w:fill="auto"/>
            <w:noWrap/>
            <w:vAlign w:val="center"/>
            <w:hideMark/>
          </w:tcPr>
          <w:p w14:paraId="24554348" w14:textId="77777777" w:rsidR="00EF3714" w:rsidRPr="00EF3714" w:rsidRDefault="00EF3714" w:rsidP="00EF3714">
            <w:pPr>
              <w:spacing w:after="0" w:line="240" w:lineRule="auto"/>
              <w:rPr>
                <w:color w:val="000000"/>
              </w:rPr>
            </w:pPr>
            <w:r w:rsidRPr="00EF3714">
              <w:rPr>
                <w:color w:val="000000"/>
              </w:rPr>
              <w:t>.68</w:t>
            </w:r>
          </w:p>
        </w:tc>
        <w:tc>
          <w:tcPr>
            <w:tcW w:w="963" w:type="dxa"/>
            <w:tcBorders>
              <w:top w:val="nil"/>
              <w:left w:val="nil"/>
              <w:bottom w:val="nil"/>
              <w:right w:val="nil"/>
            </w:tcBorders>
            <w:shd w:val="clear" w:color="auto" w:fill="auto"/>
            <w:noWrap/>
            <w:vAlign w:val="center"/>
            <w:hideMark/>
          </w:tcPr>
          <w:p w14:paraId="7602F4D9" w14:textId="77777777" w:rsidR="00EF3714" w:rsidRPr="00EF3714" w:rsidRDefault="00EF3714" w:rsidP="00EF3714">
            <w:pPr>
              <w:spacing w:after="0" w:line="240" w:lineRule="auto"/>
              <w:rPr>
                <w:color w:val="000000"/>
              </w:rPr>
            </w:pPr>
            <w:r w:rsidRPr="00EF3714">
              <w:rPr>
                <w:color w:val="000000"/>
              </w:rPr>
              <w:t>.27</w:t>
            </w:r>
          </w:p>
        </w:tc>
        <w:tc>
          <w:tcPr>
            <w:tcW w:w="1257" w:type="dxa"/>
            <w:tcBorders>
              <w:top w:val="nil"/>
              <w:left w:val="nil"/>
              <w:bottom w:val="nil"/>
              <w:right w:val="nil"/>
            </w:tcBorders>
            <w:shd w:val="clear" w:color="auto" w:fill="auto"/>
            <w:noWrap/>
            <w:vAlign w:val="center"/>
            <w:hideMark/>
          </w:tcPr>
          <w:p w14:paraId="6A7824E9" w14:textId="77777777" w:rsidR="00EF3714" w:rsidRPr="00EF3714" w:rsidRDefault="00EF3714" w:rsidP="00EF3714">
            <w:pPr>
              <w:spacing w:after="0" w:line="240" w:lineRule="auto"/>
              <w:rPr>
                <w:color w:val="000000"/>
              </w:rPr>
            </w:pPr>
            <w:r w:rsidRPr="00EF3714">
              <w:rPr>
                <w:color w:val="000000"/>
              </w:rPr>
              <w:t>.37</w:t>
            </w:r>
          </w:p>
        </w:tc>
      </w:tr>
      <w:tr w:rsidR="00EF3714" w:rsidRPr="00EF3714" w14:paraId="18420BF4" w14:textId="77777777" w:rsidTr="00EF3714">
        <w:trPr>
          <w:trHeight w:val="315"/>
        </w:trPr>
        <w:tc>
          <w:tcPr>
            <w:tcW w:w="1650" w:type="dxa"/>
            <w:tcBorders>
              <w:top w:val="nil"/>
              <w:left w:val="nil"/>
              <w:bottom w:val="nil"/>
              <w:right w:val="nil"/>
            </w:tcBorders>
            <w:shd w:val="clear" w:color="auto" w:fill="auto"/>
            <w:noWrap/>
            <w:vAlign w:val="center"/>
            <w:hideMark/>
          </w:tcPr>
          <w:p w14:paraId="3E0EA9F4" w14:textId="77777777" w:rsidR="00EF3714" w:rsidRPr="00EF3714" w:rsidRDefault="00EF3714" w:rsidP="00EF3714">
            <w:pPr>
              <w:spacing w:after="0" w:line="240" w:lineRule="auto"/>
              <w:jc w:val="left"/>
              <w:rPr>
                <w:color w:val="000000"/>
              </w:rPr>
            </w:pPr>
            <w:r w:rsidRPr="00EF3714">
              <w:rPr>
                <w:color w:val="000000"/>
              </w:rPr>
              <w:t>Ukraine</w:t>
            </w:r>
          </w:p>
        </w:tc>
        <w:tc>
          <w:tcPr>
            <w:tcW w:w="963" w:type="dxa"/>
            <w:tcBorders>
              <w:top w:val="nil"/>
              <w:left w:val="nil"/>
              <w:bottom w:val="nil"/>
              <w:right w:val="nil"/>
            </w:tcBorders>
            <w:shd w:val="clear" w:color="auto" w:fill="auto"/>
            <w:noWrap/>
            <w:vAlign w:val="center"/>
            <w:hideMark/>
          </w:tcPr>
          <w:p w14:paraId="539AD59F" w14:textId="77777777" w:rsidR="00EF3714" w:rsidRPr="00EF3714" w:rsidRDefault="00EF3714" w:rsidP="00EF3714">
            <w:pPr>
              <w:spacing w:after="0" w:line="240" w:lineRule="auto"/>
              <w:rPr>
                <w:color w:val="000000"/>
              </w:rPr>
            </w:pPr>
            <w:r w:rsidRPr="00EF3714">
              <w:rPr>
                <w:color w:val="000000"/>
              </w:rPr>
              <w:t>.39</w:t>
            </w:r>
          </w:p>
        </w:tc>
        <w:tc>
          <w:tcPr>
            <w:tcW w:w="963" w:type="dxa"/>
            <w:tcBorders>
              <w:top w:val="nil"/>
              <w:left w:val="nil"/>
              <w:bottom w:val="nil"/>
              <w:right w:val="nil"/>
            </w:tcBorders>
            <w:shd w:val="clear" w:color="auto" w:fill="auto"/>
            <w:noWrap/>
            <w:vAlign w:val="center"/>
            <w:hideMark/>
          </w:tcPr>
          <w:p w14:paraId="760228BF" w14:textId="77777777" w:rsidR="00EF3714" w:rsidRPr="00EF3714" w:rsidRDefault="00EF3714" w:rsidP="00EF3714">
            <w:pPr>
              <w:spacing w:after="0" w:line="240" w:lineRule="auto"/>
              <w:rPr>
                <w:color w:val="000000"/>
              </w:rPr>
            </w:pPr>
            <w:r w:rsidRPr="00EF3714">
              <w:rPr>
                <w:color w:val="000000"/>
              </w:rPr>
              <w:t>.58</w:t>
            </w:r>
          </w:p>
        </w:tc>
        <w:tc>
          <w:tcPr>
            <w:tcW w:w="963" w:type="dxa"/>
            <w:tcBorders>
              <w:top w:val="nil"/>
              <w:left w:val="nil"/>
              <w:bottom w:val="nil"/>
              <w:right w:val="nil"/>
            </w:tcBorders>
            <w:shd w:val="clear" w:color="auto" w:fill="auto"/>
            <w:noWrap/>
            <w:vAlign w:val="center"/>
            <w:hideMark/>
          </w:tcPr>
          <w:p w14:paraId="4BE22E7B" w14:textId="77777777" w:rsidR="00EF3714" w:rsidRPr="00EF3714" w:rsidRDefault="00EF3714" w:rsidP="00EF3714">
            <w:pPr>
              <w:spacing w:after="0" w:line="240" w:lineRule="auto"/>
              <w:rPr>
                <w:color w:val="000000"/>
              </w:rPr>
            </w:pPr>
            <w:r w:rsidRPr="00EF3714">
              <w:rPr>
                <w:color w:val="000000"/>
              </w:rPr>
              <w:t>.35</w:t>
            </w:r>
          </w:p>
        </w:tc>
        <w:tc>
          <w:tcPr>
            <w:tcW w:w="963" w:type="dxa"/>
            <w:tcBorders>
              <w:top w:val="nil"/>
              <w:left w:val="nil"/>
              <w:bottom w:val="nil"/>
              <w:right w:val="nil"/>
            </w:tcBorders>
            <w:shd w:val="clear" w:color="auto" w:fill="auto"/>
            <w:noWrap/>
            <w:vAlign w:val="center"/>
            <w:hideMark/>
          </w:tcPr>
          <w:p w14:paraId="3F1E11B4" w14:textId="77777777" w:rsidR="00EF3714" w:rsidRPr="00EF3714" w:rsidRDefault="00EF3714" w:rsidP="00EF3714">
            <w:pPr>
              <w:spacing w:after="0" w:line="240" w:lineRule="auto"/>
              <w:rPr>
                <w:color w:val="000000"/>
              </w:rPr>
            </w:pPr>
            <w:r w:rsidRPr="00EF3714">
              <w:rPr>
                <w:color w:val="000000"/>
              </w:rPr>
              <w:t>.18</w:t>
            </w:r>
          </w:p>
        </w:tc>
        <w:tc>
          <w:tcPr>
            <w:tcW w:w="963" w:type="dxa"/>
            <w:tcBorders>
              <w:top w:val="nil"/>
              <w:left w:val="nil"/>
              <w:bottom w:val="nil"/>
              <w:right w:val="nil"/>
            </w:tcBorders>
            <w:shd w:val="clear" w:color="auto" w:fill="auto"/>
            <w:noWrap/>
            <w:vAlign w:val="center"/>
            <w:hideMark/>
          </w:tcPr>
          <w:p w14:paraId="7F9A0B3E" w14:textId="77777777" w:rsidR="00EF3714" w:rsidRPr="00EF3714" w:rsidRDefault="00EF3714" w:rsidP="00EF3714">
            <w:pPr>
              <w:spacing w:after="0" w:line="240" w:lineRule="auto"/>
              <w:rPr>
                <w:color w:val="000000"/>
              </w:rPr>
            </w:pPr>
            <w:r w:rsidRPr="00EF3714">
              <w:rPr>
                <w:color w:val="000000"/>
              </w:rPr>
              <w:t>.46</w:t>
            </w:r>
          </w:p>
        </w:tc>
        <w:tc>
          <w:tcPr>
            <w:tcW w:w="963" w:type="dxa"/>
            <w:tcBorders>
              <w:top w:val="nil"/>
              <w:left w:val="nil"/>
              <w:bottom w:val="nil"/>
              <w:right w:val="nil"/>
            </w:tcBorders>
            <w:shd w:val="clear" w:color="auto" w:fill="auto"/>
            <w:noWrap/>
            <w:vAlign w:val="center"/>
            <w:hideMark/>
          </w:tcPr>
          <w:p w14:paraId="53AE3618" w14:textId="77777777" w:rsidR="00EF3714" w:rsidRPr="00EF3714" w:rsidRDefault="00EF3714" w:rsidP="00EF3714">
            <w:pPr>
              <w:spacing w:after="0" w:line="240" w:lineRule="auto"/>
              <w:rPr>
                <w:color w:val="000000"/>
              </w:rPr>
            </w:pPr>
            <w:r w:rsidRPr="00EF3714">
              <w:rPr>
                <w:color w:val="000000"/>
              </w:rPr>
              <w:t>.26</w:t>
            </w:r>
          </w:p>
        </w:tc>
        <w:tc>
          <w:tcPr>
            <w:tcW w:w="963" w:type="dxa"/>
            <w:tcBorders>
              <w:top w:val="nil"/>
              <w:left w:val="nil"/>
              <w:bottom w:val="nil"/>
              <w:right w:val="nil"/>
            </w:tcBorders>
            <w:shd w:val="clear" w:color="auto" w:fill="auto"/>
            <w:noWrap/>
            <w:vAlign w:val="center"/>
            <w:hideMark/>
          </w:tcPr>
          <w:p w14:paraId="5D5E1833"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nil"/>
              <w:right w:val="nil"/>
            </w:tcBorders>
            <w:shd w:val="clear" w:color="auto" w:fill="auto"/>
            <w:noWrap/>
            <w:vAlign w:val="center"/>
            <w:hideMark/>
          </w:tcPr>
          <w:p w14:paraId="7DD3426D" w14:textId="77777777" w:rsidR="00EF3714" w:rsidRPr="00EF3714" w:rsidRDefault="00EF3714" w:rsidP="00EF3714">
            <w:pPr>
              <w:spacing w:after="0" w:line="240" w:lineRule="auto"/>
              <w:rPr>
                <w:color w:val="000000"/>
              </w:rPr>
            </w:pPr>
            <w:r w:rsidRPr="00EF3714">
              <w:rPr>
                <w:color w:val="000000"/>
              </w:rPr>
              <w:t>.50</w:t>
            </w:r>
          </w:p>
        </w:tc>
        <w:tc>
          <w:tcPr>
            <w:tcW w:w="963" w:type="dxa"/>
            <w:tcBorders>
              <w:top w:val="nil"/>
              <w:left w:val="nil"/>
              <w:bottom w:val="nil"/>
              <w:right w:val="nil"/>
            </w:tcBorders>
            <w:shd w:val="clear" w:color="auto" w:fill="auto"/>
            <w:noWrap/>
            <w:vAlign w:val="center"/>
            <w:hideMark/>
          </w:tcPr>
          <w:p w14:paraId="2CA85100" w14:textId="77777777" w:rsidR="00EF3714" w:rsidRPr="00EF3714" w:rsidRDefault="00EF3714" w:rsidP="00EF3714">
            <w:pPr>
              <w:spacing w:after="0" w:line="240" w:lineRule="auto"/>
              <w:rPr>
                <w:color w:val="000000"/>
              </w:rPr>
            </w:pPr>
            <w:r w:rsidRPr="00EF3714">
              <w:rPr>
                <w:color w:val="000000"/>
              </w:rPr>
              <w:t>.71</w:t>
            </w:r>
          </w:p>
        </w:tc>
        <w:tc>
          <w:tcPr>
            <w:tcW w:w="1257" w:type="dxa"/>
            <w:tcBorders>
              <w:top w:val="nil"/>
              <w:left w:val="nil"/>
              <w:bottom w:val="nil"/>
              <w:right w:val="nil"/>
            </w:tcBorders>
            <w:shd w:val="clear" w:color="auto" w:fill="auto"/>
            <w:noWrap/>
            <w:vAlign w:val="center"/>
            <w:hideMark/>
          </w:tcPr>
          <w:p w14:paraId="50383B26" w14:textId="77777777" w:rsidR="00EF3714" w:rsidRPr="00EF3714" w:rsidRDefault="00EF3714" w:rsidP="00EF3714">
            <w:pPr>
              <w:spacing w:after="0" w:line="240" w:lineRule="auto"/>
              <w:rPr>
                <w:color w:val="000000"/>
              </w:rPr>
            </w:pPr>
            <w:r w:rsidRPr="00EF3714">
              <w:rPr>
                <w:color w:val="000000"/>
              </w:rPr>
              <w:t>.43</w:t>
            </w:r>
          </w:p>
        </w:tc>
      </w:tr>
      <w:tr w:rsidR="00EF3714" w:rsidRPr="00EF3714" w14:paraId="494421C6" w14:textId="77777777" w:rsidTr="00EF3714">
        <w:trPr>
          <w:trHeight w:val="315"/>
        </w:trPr>
        <w:tc>
          <w:tcPr>
            <w:tcW w:w="1650" w:type="dxa"/>
            <w:tcBorders>
              <w:top w:val="nil"/>
              <w:left w:val="nil"/>
              <w:bottom w:val="nil"/>
              <w:right w:val="nil"/>
            </w:tcBorders>
            <w:shd w:val="clear" w:color="auto" w:fill="auto"/>
            <w:noWrap/>
            <w:vAlign w:val="center"/>
            <w:hideMark/>
          </w:tcPr>
          <w:p w14:paraId="38D15FBD" w14:textId="77777777" w:rsidR="00EF3714" w:rsidRPr="00EF3714" w:rsidRDefault="00EF3714" w:rsidP="00EF3714">
            <w:pPr>
              <w:spacing w:after="0" w:line="240" w:lineRule="auto"/>
              <w:jc w:val="left"/>
              <w:rPr>
                <w:color w:val="000000"/>
              </w:rPr>
            </w:pPr>
            <w:r w:rsidRPr="00EF3714">
              <w:rPr>
                <w:color w:val="000000"/>
              </w:rPr>
              <w:t>United Kingdom</w:t>
            </w:r>
          </w:p>
        </w:tc>
        <w:tc>
          <w:tcPr>
            <w:tcW w:w="963" w:type="dxa"/>
            <w:tcBorders>
              <w:top w:val="nil"/>
              <w:left w:val="nil"/>
              <w:bottom w:val="nil"/>
              <w:right w:val="nil"/>
            </w:tcBorders>
            <w:shd w:val="clear" w:color="auto" w:fill="auto"/>
            <w:noWrap/>
            <w:vAlign w:val="center"/>
            <w:hideMark/>
          </w:tcPr>
          <w:p w14:paraId="5352B62B" w14:textId="77777777" w:rsidR="00EF3714" w:rsidRPr="00EF3714" w:rsidRDefault="00EF3714" w:rsidP="00EF3714">
            <w:pPr>
              <w:spacing w:after="0" w:line="240" w:lineRule="auto"/>
              <w:rPr>
                <w:color w:val="000000"/>
              </w:rPr>
            </w:pPr>
            <w:r w:rsidRPr="00EF3714">
              <w:rPr>
                <w:color w:val="000000"/>
              </w:rPr>
              <w:t>.32</w:t>
            </w:r>
          </w:p>
        </w:tc>
        <w:tc>
          <w:tcPr>
            <w:tcW w:w="963" w:type="dxa"/>
            <w:tcBorders>
              <w:top w:val="nil"/>
              <w:left w:val="nil"/>
              <w:bottom w:val="nil"/>
              <w:right w:val="nil"/>
            </w:tcBorders>
            <w:shd w:val="clear" w:color="auto" w:fill="auto"/>
            <w:noWrap/>
            <w:vAlign w:val="center"/>
            <w:hideMark/>
          </w:tcPr>
          <w:p w14:paraId="272367AA" w14:textId="77777777" w:rsidR="00EF3714" w:rsidRPr="00EF3714" w:rsidRDefault="00EF3714" w:rsidP="00EF3714">
            <w:pPr>
              <w:spacing w:after="0" w:line="240" w:lineRule="auto"/>
              <w:rPr>
                <w:color w:val="000000"/>
              </w:rPr>
            </w:pPr>
            <w:r w:rsidRPr="00EF3714">
              <w:rPr>
                <w:color w:val="000000"/>
              </w:rPr>
              <w:t>.33</w:t>
            </w:r>
          </w:p>
        </w:tc>
        <w:tc>
          <w:tcPr>
            <w:tcW w:w="963" w:type="dxa"/>
            <w:tcBorders>
              <w:top w:val="nil"/>
              <w:left w:val="nil"/>
              <w:bottom w:val="nil"/>
              <w:right w:val="nil"/>
            </w:tcBorders>
            <w:shd w:val="clear" w:color="auto" w:fill="auto"/>
            <w:noWrap/>
            <w:vAlign w:val="center"/>
            <w:hideMark/>
          </w:tcPr>
          <w:p w14:paraId="144CA8A5" w14:textId="77777777" w:rsidR="00EF3714" w:rsidRPr="00EF3714" w:rsidRDefault="00EF3714" w:rsidP="00EF3714">
            <w:pPr>
              <w:spacing w:after="0" w:line="240" w:lineRule="auto"/>
              <w:rPr>
                <w:color w:val="000000"/>
              </w:rPr>
            </w:pPr>
            <w:r w:rsidRPr="00EF3714">
              <w:rPr>
                <w:color w:val="000000"/>
              </w:rPr>
              <w:t>.79</w:t>
            </w:r>
          </w:p>
        </w:tc>
        <w:tc>
          <w:tcPr>
            <w:tcW w:w="963" w:type="dxa"/>
            <w:tcBorders>
              <w:top w:val="nil"/>
              <w:left w:val="nil"/>
              <w:bottom w:val="nil"/>
              <w:right w:val="nil"/>
            </w:tcBorders>
            <w:shd w:val="clear" w:color="auto" w:fill="auto"/>
            <w:noWrap/>
            <w:vAlign w:val="center"/>
            <w:hideMark/>
          </w:tcPr>
          <w:p w14:paraId="5BEE8B25"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nil"/>
              <w:right w:val="nil"/>
            </w:tcBorders>
            <w:shd w:val="clear" w:color="auto" w:fill="auto"/>
            <w:noWrap/>
            <w:vAlign w:val="center"/>
            <w:hideMark/>
          </w:tcPr>
          <w:p w14:paraId="695CF609" w14:textId="77777777" w:rsidR="00EF3714" w:rsidRPr="00EF3714" w:rsidRDefault="00EF3714" w:rsidP="00EF3714">
            <w:pPr>
              <w:spacing w:after="0" w:line="240" w:lineRule="auto"/>
              <w:rPr>
                <w:color w:val="000000"/>
              </w:rPr>
            </w:pPr>
            <w:r w:rsidRPr="00EF3714">
              <w:rPr>
                <w:color w:val="000000"/>
              </w:rPr>
              <w:t>.55</w:t>
            </w:r>
          </w:p>
        </w:tc>
        <w:tc>
          <w:tcPr>
            <w:tcW w:w="963" w:type="dxa"/>
            <w:tcBorders>
              <w:top w:val="nil"/>
              <w:left w:val="nil"/>
              <w:bottom w:val="nil"/>
              <w:right w:val="nil"/>
            </w:tcBorders>
            <w:shd w:val="clear" w:color="auto" w:fill="auto"/>
            <w:noWrap/>
            <w:vAlign w:val="center"/>
            <w:hideMark/>
          </w:tcPr>
          <w:p w14:paraId="2E57B12E"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nil"/>
              <w:right w:val="nil"/>
            </w:tcBorders>
            <w:shd w:val="clear" w:color="auto" w:fill="auto"/>
            <w:noWrap/>
            <w:vAlign w:val="center"/>
            <w:hideMark/>
          </w:tcPr>
          <w:p w14:paraId="7534F97D" w14:textId="77777777" w:rsidR="00EF3714" w:rsidRPr="00EF3714" w:rsidRDefault="00EF3714" w:rsidP="00EF3714">
            <w:pPr>
              <w:spacing w:after="0" w:line="240" w:lineRule="auto"/>
              <w:rPr>
                <w:color w:val="000000"/>
              </w:rPr>
            </w:pPr>
            <w:r w:rsidRPr="00EF3714">
              <w:rPr>
                <w:color w:val="000000"/>
              </w:rPr>
              <w:t>.56</w:t>
            </w:r>
          </w:p>
        </w:tc>
        <w:tc>
          <w:tcPr>
            <w:tcW w:w="963" w:type="dxa"/>
            <w:tcBorders>
              <w:top w:val="nil"/>
              <w:left w:val="nil"/>
              <w:bottom w:val="nil"/>
              <w:right w:val="nil"/>
            </w:tcBorders>
            <w:shd w:val="clear" w:color="auto" w:fill="auto"/>
            <w:noWrap/>
            <w:vAlign w:val="center"/>
            <w:hideMark/>
          </w:tcPr>
          <w:p w14:paraId="0C543111" w14:textId="77777777" w:rsidR="00EF3714" w:rsidRPr="00EF3714" w:rsidRDefault="00EF3714" w:rsidP="00EF3714">
            <w:pPr>
              <w:spacing w:after="0" w:line="240" w:lineRule="auto"/>
              <w:rPr>
                <w:color w:val="000000"/>
              </w:rPr>
            </w:pPr>
            <w:r w:rsidRPr="00EF3714">
              <w:rPr>
                <w:color w:val="000000"/>
              </w:rPr>
              <w:t>.48</w:t>
            </w:r>
          </w:p>
        </w:tc>
        <w:tc>
          <w:tcPr>
            <w:tcW w:w="963" w:type="dxa"/>
            <w:tcBorders>
              <w:top w:val="nil"/>
              <w:left w:val="nil"/>
              <w:bottom w:val="nil"/>
              <w:right w:val="nil"/>
            </w:tcBorders>
            <w:shd w:val="clear" w:color="auto" w:fill="auto"/>
            <w:noWrap/>
            <w:vAlign w:val="center"/>
            <w:hideMark/>
          </w:tcPr>
          <w:p w14:paraId="14EB0802" w14:textId="77777777" w:rsidR="00EF3714" w:rsidRPr="00EF3714" w:rsidRDefault="00EF3714" w:rsidP="00EF3714">
            <w:pPr>
              <w:spacing w:after="0" w:line="240" w:lineRule="auto"/>
              <w:rPr>
                <w:color w:val="000000"/>
              </w:rPr>
            </w:pPr>
            <w:r w:rsidRPr="00EF3714">
              <w:rPr>
                <w:color w:val="000000"/>
              </w:rPr>
              <w:t>.68</w:t>
            </w:r>
          </w:p>
        </w:tc>
        <w:tc>
          <w:tcPr>
            <w:tcW w:w="1257" w:type="dxa"/>
            <w:tcBorders>
              <w:top w:val="nil"/>
              <w:left w:val="nil"/>
              <w:bottom w:val="nil"/>
              <w:right w:val="nil"/>
            </w:tcBorders>
            <w:shd w:val="clear" w:color="auto" w:fill="auto"/>
            <w:noWrap/>
            <w:vAlign w:val="center"/>
            <w:hideMark/>
          </w:tcPr>
          <w:p w14:paraId="179EFC5C" w14:textId="77777777" w:rsidR="00EF3714" w:rsidRPr="00EF3714" w:rsidRDefault="00EF3714" w:rsidP="00EF3714">
            <w:pPr>
              <w:spacing w:after="0" w:line="240" w:lineRule="auto"/>
              <w:rPr>
                <w:color w:val="000000"/>
              </w:rPr>
            </w:pPr>
            <w:r w:rsidRPr="00EF3714">
              <w:rPr>
                <w:color w:val="000000"/>
              </w:rPr>
              <w:t>.46</w:t>
            </w:r>
          </w:p>
        </w:tc>
      </w:tr>
      <w:tr w:rsidR="00EF3714" w:rsidRPr="00EF3714" w14:paraId="067A6389" w14:textId="77777777" w:rsidTr="00EF3714">
        <w:trPr>
          <w:trHeight w:val="315"/>
        </w:trPr>
        <w:tc>
          <w:tcPr>
            <w:tcW w:w="1650" w:type="dxa"/>
            <w:tcBorders>
              <w:top w:val="nil"/>
              <w:left w:val="nil"/>
              <w:bottom w:val="nil"/>
              <w:right w:val="nil"/>
            </w:tcBorders>
            <w:shd w:val="clear" w:color="auto" w:fill="auto"/>
            <w:noWrap/>
            <w:vAlign w:val="center"/>
            <w:hideMark/>
          </w:tcPr>
          <w:p w14:paraId="55D0864A" w14:textId="77777777" w:rsidR="00EF3714" w:rsidRPr="00EF3714" w:rsidRDefault="00EF3714" w:rsidP="00EF3714">
            <w:pPr>
              <w:spacing w:after="0" w:line="240" w:lineRule="auto"/>
              <w:jc w:val="left"/>
              <w:rPr>
                <w:color w:val="000000"/>
              </w:rPr>
            </w:pPr>
            <w:r w:rsidRPr="00EF3714">
              <w:rPr>
                <w:color w:val="000000"/>
              </w:rPr>
              <w:t>United States</w:t>
            </w:r>
          </w:p>
        </w:tc>
        <w:tc>
          <w:tcPr>
            <w:tcW w:w="963" w:type="dxa"/>
            <w:tcBorders>
              <w:top w:val="nil"/>
              <w:left w:val="nil"/>
              <w:bottom w:val="nil"/>
              <w:right w:val="nil"/>
            </w:tcBorders>
            <w:shd w:val="clear" w:color="auto" w:fill="auto"/>
            <w:noWrap/>
            <w:vAlign w:val="center"/>
            <w:hideMark/>
          </w:tcPr>
          <w:p w14:paraId="3BBCAB29" w14:textId="77777777" w:rsidR="00EF3714" w:rsidRPr="00EF3714" w:rsidRDefault="00EF3714" w:rsidP="00EF3714">
            <w:pPr>
              <w:spacing w:after="0" w:line="240" w:lineRule="auto"/>
              <w:rPr>
                <w:color w:val="000000"/>
              </w:rPr>
            </w:pPr>
            <w:r w:rsidRPr="00EF3714">
              <w:rPr>
                <w:color w:val="000000"/>
              </w:rPr>
              <w:t>.44</w:t>
            </w:r>
          </w:p>
        </w:tc>
        <w:tc>
          <w:tcPr>
            <w:tcW w:w="963" w:type="dxa"/>
            <w:tcBorders>
              <w:top w:val="nil"/>
              <w:left w:val="nil"/>
              <w:bottom w:val="nil"/>
              <w:right w:val="nil"/>
            </w:tcBorders>
            <w:shd w:val="clear" w:color="auto" w:fill="auto"/>
            <w:noWrap/>
            <w:vAlign w:val="center"/>
            <w:hideMark/>
          </w:tcPr>
          <w:p w14:paraId="4FFF1B69" w14:textId="77777777" w:rsidR="00EF3714" w:rsidRPr="00EF3714" w:rsidRDefault="00EF3714" w:rsidP="00EF3714">
            <w:pPr>
              <w:spacing w:after="0" w:line="240" w:lineRule="auto"/>
              <w:rPr>
                <w:color w:val="000000"/>
              </w:rPr>
            </w:pPr>
            <w:r w:rsidRPr="00EF3714">
              <w:rPr>
                <w:color w:val="000000"/>
              </w:rPr>
              <w:t>.54</w:t>
            </w:r>
          </w:p>
        </w:tc>
        <w:tc>
          <w:tcPr>
            <w:tcW w:w="963" w:type="dxa"/>
            <w:tcBorders>
              <w:top w:val="nil"/>
              <w:left w:val="nil"/>
              <w:bottom w:val="nil"/>
              <w:right w:val="nil"/>
            </w:tcBorders>
            <w:shd w:val="clear" w:color="auto" w:fill="auto"/>
            <w:noWrap/>
            <w:vAlign w:val="center"/>
            <w:hideMark/>
          </w:tcPr>
          <w:p w14:paraId="08CB6AFB" w14:textId="77777777" w:rsidR="00EF3714" w:rsidRPr="00EF3714" w:rsidRDefault="00EF3714" w:rsidP="00EF3714">
            <w:pPr>
              <w:spacing w:after="0" w:line="240" w:lineRule="auto"/>
              <w:rPr>
                <w:color w:val="000000"/>
              </w:rPr>
            </w:pPr>
            <w:r w:rsidRPr="00EF3714">
              <w:rPr>
                <w:color w:val="000000"/>
              </w:rPr>
              <w:t>.22</w:t>
            </w:r>
          </w:p>
        </w:tc>
        <w:tc>
          <w:tcPr>
            <w:tcW w:w="963" w:type="dxa"/>
            <w:tcBorders>
              <w:top w:val="nil"/>
              <w:left w:val="nil"/>
              <w:bottom w:val="nil"/>
              <w:right w:val="nil"/>
            </w:tcBorders>
            <w:shd w:val="clear" w:color="auto" w:fill="auto"/>
            <w:noWrap/>
            <w:vAlign w:val="center"/>
            <w:hideMark/>
          </w:tcPr>
          <w:p w14:paraId="7ED3DEDE" w14:textId="77777777" w:rsidR="00EF3714" w:rsidRPr="00EF3714" w:rsidRDefault="00EF3714" w:rsidP="00EF3714">
            <w:pPr>
              <w:spacing w:after="0" w:line="240" w:lineRule="auto"/>
              <w:rPr>
                <w:color w:val="000000"/>
              </w:rPr>
            </w:pPr>
            <w:r w:rsidRPr="00EF3714">
              <w:rPr>
                <w:color w:val="000000"/>
              </w:rPr>
              <w:t>.21</w:t>
            </w:r>
          </w:p>
        </w:tc>
        <w:tc>
          <w:tcPr>
            <w:tcW w:w="963" w:type="dxa"/>
            <w:tcBorders>
              <w:top w:val="nil"/>
              <w:left w:val="nil"/>
              <w:bottom w:val="nil"/>
              <w:right w:val="nil"/>
            </w:tcBorders>
            <w:shd w:val="clear" w:color="auto" w:fill="auto"/>
            <w:noWrap/>
            <w:vAlign w:val="center"/>
            <w:hideMark/>
          </w:tcPr>
          <w:p w14:paraId="2119F9FD" w14:textId="77777777" w:rsidR="00EF3714" w:rsidRPr="00EF3714" w:rsidRDefault="00EF3714" w:rsidP="00EF3714">
            <w:pPr>
              <w:spacing w:after="0" w:line="240" w:lineRule="auto"/>
              <w:rPr>
                <w:color w:val="000000"/>
              </w:rPr>
            </w:pPr>
            <w:r w:rsidRPr="00EF3714">
              <w:rPr>
                <w:color w:val="000000"/>
              </w:rPr>
              <w:t>.57</w:t>
            </w:r>
          </w:p>
        </w:tc>
        <w:tc>
          <w:tcPr>
            <w:tcW w:w="963" w:type="dxa"/>
            <w:tcBorders>
              <w:top w:val="nil"/>
              <w:left w:val="nil"/>
              <w:bottom w:val="nil"/>
              <w:right w:val="nil"/>
            </w:tcBorders>
            <w:shd w:val="clear" w:color="auto" w:fill="auto"/>
            <w:noWrap/>
            <w:vAlign w:val="center"/>
            <w:hideMark/>
          </w:tcPr>
          <w:p w14:paraId="7C9824D1" w14:textId="77777777" w:rsidR="00EF3714" w:rsidRPr="00EF3714" w:rsidRDefault="00EF3714" w:rsidP="00EF3714">
            <w:pPr>
              <w:spacing w:after="0" w:line="240" w:lineRule="auto"/>
              <w:rPr>
                <w:color w:val="000000"/>
              </w:rPr>
            </w:pPr>
            <w:r w:rsidRPr="00EF3714">
              <w:rPr>
                <w:color w:val="000000"/>
              </w:rPr>
              <w:t>.28</w:t>
            </w:r>
          </w:p>
        </w:tc>
        <w:tc>
          <w:tcPr>
            <w:tcW w:w="963" w:type="dxa"/>
            <w:tcBorders>
              <w:top w:val="nil"/>
              <w:left w:val="nil"/>
              <w:bottom w:val="nil"/>
              <w:right w:val="nil"/>
            </w:tcBorders>
            <w:shd w:val="clear" w:color="auto" w:fill="auto"/>
            <w:noWrap/>
            <w:vAlign w:val="center"/>
            <w:hideMark/>
          </w:tcPr>
          <w:p w14:paraId="73C951D2" w14:textId="77777777" w:rsidR="00EF3714" w:rsidRPr="00EF3714" w:rsidRDefault="00EF3714" w:rsidP="00EF3714">
            <w:pPr>
              <w:spacing w:after="0" w:line="240" w:lineRule="auto"/>
              <w:rPr>
                <w:color w:val="000000"/>
              </w:rPr>
            </w:pPr>
            <w:r w:rsidRPr="00EF3714">
              <w:rPr>
                <w:color w:val="000000"/>
              </w:rPr>
              <w:t>.55</w:t>
            </w:r>
          </w:p>
        </w:tc>
        <w:tc>
          <w:tcPr>
            <w:tcW w:w="963" w:type="dxa"/>
            <w:tcBorders>
              <w:top w:val="nil"/>
              <w:left w:val="nil"/>
              <w:bottom w:val="nil"/>
              <w:right w:val="nil"/>
            </w:tcBorders>
            <w:shd w:val="clear" w:color="auto" w:fill="auto"/>
            <w:noWrap/>
            <w:vAlign w:val="center"/>
            <w:hideMark/>
          </w:tcPr>
          <w:p w14:paraId="0D54D4B6" w14:textId="77777777" w:rsidR="00EF3714" w:rsidRPr="00EF3714" w:rsidRDefault="00EF3714" w:rsidP="00EF3714">
            <w:pPr>
              <w:spacing w:after="0" w:line="240" w:lineRule="auto"/>
              <w:rPr>
                <w:color w:val="000000"/>
              </w:rPr>
            </w:pPr>
            <w:r w:rsidRPr="00EF3714">
              <w:rPr>
                <w:color w:val="000000"/>
              </w:rPr>
              <w:t>.52</w:t>
            </w:r>
          </w:p>
        </w:tc>
        <w:tc>
          <w:tcPr>
            <w:tcW w:w="963" w:type="dxa"/>
            <w:tcBorders>
              <w:top w:val="nil"/>
              <w:left w:val="nil"/>
              <w:bottom w:val="nil"/>
              <w:right w:val="nil"/>
            </w:tcBorders>
            <w:shd w:val="clear" w:color="auto" w:fill="auto"/>
            <w:noWrap/>
            <w:vAlign w:val="center"/>
            <w:hideMark/>
          </w:tcPr>
          <w:p w14:paraId="0A71017E" w14:textId="77777777" w:rsidR="00EF3714" w:rsidRPr="00EF3714" w:rsidRDefault="00EF3714" w:rsidP="00EF3714">
            <w:pPr>
              <w:spacing w:after="0" w:line="240" w:lineRule="auto"/>
              <w:rPr>
                <w:color w:val="000000"/>
              </w:rPr>
            </w:pPr>
            <w:r w:rsidRPr="00EF3714">
              <w:rPr>
                <w:color w:val="000000"/>
              </w:rPr>
              <w:t>.58</w:t>
            </w:r>
          </w:p>
        </w:tc>
        <w:tc>
          <w:tcPr>
            <w:tcW w:w="1257" w:type="dxa"/>
            <w:tcBorders>
              <w:top w:val="nil"/>
              <w:left w:val="nil"/>
              <w:bottom w:val="nil"/>
              <w:right w:val="nil"/>
            </w:tcBorders>
            <w:shd w:val="clear" w:color="auto" w:fill="auto"/>
            <w:noWrap/>
            <w:vAlign w:val="center"/>
            <w:hideMark/>
          </w:tcPr>
          <w:p w14:paraId="2C52FB2B" w14:textId="77777777" w:rsidR="00EF3714" w:rsidRPr="00EF3714" w:rsidRDefault="00EF3714" w:rsidP="00EF3714">
            <w:pPr>
              <w:spacing w:after="0" w:line="240" w:lineRule="auto"/>
              <w:rPr>
                <w:color w:val="000000"/>
              </w:rPr>
            </w:pPr>
            <w:r w:rsidRPr="00EF3714">
              <w:rPr>
                <w:color w:val="000000"/>
              </w:rPr>
              <w:t>.44</w:t>
            </w:r>
          </w:p>
        </w:tc>
      </w:tr>
      <w:tr w:rsidR="00EF3714" w:rsidRPr="00EF3714" w14:paraId="6EBAB0C0" w14:textId="77777777" w:rsidTr="00EF3714">
        <w:trPr>
          <w:trHeight w:val="315"/>
        </w:trPr>
        <w:tc>
          <w:tcPr>
            <w:tcW w:w="1650" w:type="dxa"/>
            <w:tcBorders>
              <w:top w:val="nil"/>
              <w:left w:val="nil"/>
              <w:bottom w:val="single" w:sz="4" w:space="0" w:color="auto"/>
              <w:right w:val="nil"/>
            </w:tcBorders>
            <w:shd w:val="clear" w:color="auto" w:fill="auto"/>
            <w:noWrap/>
            <w:vAlign w:val="center"/>
            <w:hideMark/>
          </w:tcPr>
          <w:p w14:paraId="20493A1D" w14:textId="77777777" w:rsidR="00EF3714" w:rsidRPr="00EF3714" w:rsidRDefault="00EF3714" w:rsidP="00EF3714">
            <w:pPr>
              <w:spacing w:after="0" w:line="240" w:lineRule="auto"/>
              <w:jc w:val="left"/>
              <w:rPr>
                <w:color w:val="000000"/>
              </w:rPr>
            </w:pPr>
            <w:r w:rsidRPr="00EF3714">
              <w:rPr>
                <w:color w:val="000000"/>
              </w:rPr>
              <w:t>Vietnam</w:t>
            </w:r>
          </w:p>
        </w:tc>
        <w:tc>
          <w:tcPr>
            <w:tcW w:w="963" w:type="dxa"/>
            <w:tcBorders>
              <w:top w:val="nil"/>
              <w:left w:val="nil"/>
              <w:bottom w:val="single" w:sz="4" w:space="0" w:color="auto"/>
              <w:right w:val="nil"/>
            </w:tcBorders>
            <w:shd w:val="clear" w:color="auto" w:fill="auto"/>
            <w:noWrap/>
            <w:vAlign w:val="center"/>
            <w:hideMark/>
          </w:tcPr>
          <w:p w14:paraId="34473EFB" w14:textId="77777777" w:rsidR="00EF3714" w:rsidRPr="00EF3714" w:rsidRDefault="00EF3714" w:rsidP="00EF3714">
            <w:pPr>
              <w:spacing w:after="0" w:line="240" w:lineRule="auto"/>
              <w:rPr>
                <w:color w:val="000000"/>
              </w:rPr>
            </w:pPr>
            <w:r w:rsidRPr="00EF3714">
              <w:rPr>
                <w:color w:val="000000"/>
              </w:rPr>
              <w:t>1.00</w:t>
            </w:r>
          </w:p>
        </w:tc>
        <w:tc>
          <w:tcPr>
            <w:tcW w:w="963" w:type="dxa"/>
            <w:tcBorders>
              <w:top w:val="nil"/>
              <w:left w:val="nil"/>
              <w:bottom w:val="single" w:sz="4" w:space="0" w:color="auto"/>
              <w:right w:val="nil"/>
            </w:tcBorders>
            <w:shd w:val="clear" w:color="auto" w:fill="auto"/>
            <w:noWrap/>
            <w:vAlign w:val="center"/>
            <w:hideMark/>
          </w:tcPr>
          <w:p w14:paraId="2C47F1DC" w14:textId="77777777" w:rsidR="00EF3714" w:rsidRPr="00EF3714" w:rsidRDefault="00EF3714" w:rsidP="00EF3714">
            <w:pPr>
              <w:spacing w:after="0" w:line="240" w:lineRule="auto"/>
              <w:rPr>
                <w:color w:val="000000"/>
              </w:rPr>
            </w:pPr>
            <w:r w:rsidRPr="00EF3714">
              <w:rPr>
                <w:color w:val="000000"/>
              </w:rPr>
              <w:t>.61</w:t>
            </w:r>
          </w:p>
        </w:tc>
        <w:tc>
          <w:tcPr>
            <w:tcW w:w="963" w:type="dxa"/>
            <w:tcBorders>
              <w:top w:val="nil"/>
              <w:left w:val="nil"/>
              <w:bottom w:val="single" w:sz="4" w:space="0" w:color="auto"/>
              <w:right w:val="nil"/>
            </w:tcBorders>
            <w:shd w:val="clear" w:color="auto" w:fill="auto"/>
            <w:noWrap/>
            <w:vAlign w:val="center"/>
            <w:hideMark/>
          </w:tcPr>
          <w:p w14:paraId="5F16541F" w14:textId="77777777" w:rsidR="00EF3714" w:rsidRPr="00EF3714" w:rsidRDefault="00EF3714" w:rsidP="00EF3714">
            <w:pPr>
              <w:spacing w:after="0" w:line="240" w:lineRule="auto"/>
              <w:rPr>
                <w:color w:val="000000"/>
              </w:rPr>
            </w:pPr>
            <w:r w:rsidRPr="00EF3714">
              <w:rPr>
                <w:color w:val="000000"/>
              </w:rPr>
              <w:t>.41</w:t>
            </w:r>
          </w:p>
        </w:tc>
        <w:tc>
          <w:tcPr>
            <w:tcW w:w="963" w:type="dxa"/>
            <w:tcBorders>
              <w:top w:val="nil"/>
              <w:left w:val="nil"/>
              <w:bottom w:val="single" w:sz="4" w:space="0" w:color="auto"/>
              <w:right w:val="nil"/>
            </w:tcBorders>
            <w:shd w:val="clear" w:color="auto" w:fill="auto"/>
            <w:noWrap/>
            <w:vAlign w:val="center"/>
            <w:hideMark/>
          </w:tcPr>
          <w:p w14:paraId="76A602DF" w14:textId="77777777" w:rsidR="00EF3714" w:rsidRPr="00EF3714" w:rsidRDefault="00EF3714" w:rsidP="00EF3714">
            <w:pPr>
              <w:spacing w:after="0" w:line="240" w:lineRule="auto"/>
              <w:rPr>
                <w:color w:val="000000"/>
              </w:rPr>
            </w:pPr>
            <w:r w:rsidRPr="00EF3714">
              <w:rPr>
                <w:color w:val="000000"/>
              </w:rPr>
              <w:t>.24</w:t>
            </w:r>
          </w:p>
        </w:tc>
        <w:tc>
          <w:tcPr>
            <w:tcW w:w="963" w:type="dxa"/>
            <w:tcBorders>
              <w:top w:val="nil"/>
              <w:left w:val="nil"/>
              <w:bottom w:val="single" w:sz="4" w:space="0" w:color="auto"/>
              <w:right w:val="nil"/>
            </w:tcBorders>
            <w:shd w:val="clear" w:color="auto" w:fill="auto"/>
            <w:noWrap/>
            <w:vAlign w:val="center"/>
            <w:hideMark/>
          </w:tcPr>
          <w:p w14:paraId="59C92E81" w14:textId="77777777" w:rsidR="00EF3714" w:rsidRPr="00EF3714" w:rsidRDefault="00EF3714" w:rsidP="00EF3714">
            <w:pPr>
              <w:spacing w:after="0" w:line="240" w:lineRule="auto"/>
              <w:rPr>
                <w:color w:val="000000"/>
              </w:rPr>
            </w:pPr>
            <w:r w:rsidRPr="00EF3714">
              <w:rPr>
                <w:color w:val="000000"/>
              </w:rPr>
              <w:t>.27</w:t>
            </w:r>
          </w:p>
        </w:tc>
        <w:tc>
          <w:tcPr>
            <w:tcW w:w="963" w:type="dxa"/>
            <w:tcBorders>
              <w:top w:val="nil"/>
              <w:left w:val="nil"/>
              <w:bottom w:val="single" w:sz="4" w:space="0" w:color="auto"/>
              <w:right w:val="nil"/>
            </w:tcBorders>
            <w:shd w:val="clear" w:color="auto" w:fill="auto"/>
            <w:noWrap/>
            <w:vAlign w:val="center"/>
            <w:hideMark/>
          </w:tcPr>
          <w:p w14:paraId="1609F0B2" w14:textId="77777777" w:rsidR="00EF3714" w:rsidRPr="00EF3714" w:rsidRDefault="00EF3714" w:rsidP="00EF3714">
            <w:pPr>
              <w:spacing w:after="0" w:line="240" w:lineRule="auto"/>
              <w:rPr>
                <w:color w:val="000000"/>
              </w:rPr>
            </w:pPr>
            <w:r w:rsidRPr="00EF3714">
              <w:rPr>
                <w:color w:val="000000"/>
              </w:rPr>
              <w:t>.20</w:t>
            </w:r>
          </w:p>
        </w:tc>
        <w:tc>
          <w:tcPr>
            <w:tcW w:w="963" w:type="dxa"/>
            <w:tcBorders>
              <w:top w:val="nil"/>
              <w:left w:val="nil"/>
              <w:bottom w:val="single" w:sz="4" w:space="0" w:color="auto"/>
              <w:right w:val="nil"/>
            </w:tcBorders>
            <w:shd w:val="clear" w:color="auto" w:fill="auto"/>
            <w:noWrap/>
            <w:vAlign w:val="center"/>
            <w:hideMark/>
          </w:tcPr>
          <w:p w14:paraId="16638A60" w14:textId="77777777" w:rsidR="00EF3714" w:rsidRPr="00EF3714" w:rsidRDefault="00EF3714" w:rsidP="00EF3714">
            <w:pPr>
              <w:spacing w:after="0" w:line="240" w:lineRule="auto"/>
              <w:rPr>
                <w:color w:val="000000"/>
              </w:rPr>
            </w:pPr>
            <w:r w:rsidRPr="00EF3714">
              <w:rPr>
                <w:color w:val="000000"/>
              </w:rPr>
              <w:t>.60</w:t>
            </w:r>
          </w:p>
        </w:tc>
        <w:tc>
          <w:tcPr>
            <w:tcW w:w="963" w:type="dxa"/>
            <w:tcBorders>
              <w:top w:val="nil"/>
              <w:left w:val="nil"/>
              <w:bottom w:val="single" w:sz="4" w:space="0" w:color="auto"/>
              <w:right w:val="nil"/>
            </w:tcBorders>
            <w:shd w:val="clear" w:color="auto" w:fill="auto"/>
            <w:noWrap/>
            <w:vAlign w:val="center"/>
            <w:hideMark/>
          </w:tcPr>
          <w:p w14:paraId="03C030B6" w14:textId="77777777" w:rsidR="00EF3714" w:rsidRPr="00EF3714" w:rsidRDefault="00EF3714" w:rsidP="00EF3714">
            <w:pPr>
              <w:spacing w:after="0" w:line="240" w:lineRule="auto"/>
              <w:rPr>
                <w:color w:val="000000"/>
              </w:rPr>
            </w:pPr>
            <w:r w:rsidRPr="00EF3714">
              <w:rPr>
                <w:color w:val="000000"/>
              </w:rPr>
              <w:t>.31</w:t>
            </w:r>
          </w:p>
        </w:tc>
        <w:tc>
          <w:tcPr>
            <w:tcW w:w="963" w:type="dxa"/>
            <w:tcBorders>
              <w:top w:val="nil"/>
              <w:left w:val="nil"/>
              <w:bottom w:val="single" w:sz="4" w:space="0" w:color="auto"/>
              <w:right w:val="nil"/>
            </w:tcBorders>
            <w:shd w:val="clear" w:color="auto" w:fill="auto"/>
            <w:noWrap/>
            <w:vAlign w:val="center"/>
            <w:hideMark/>
          </w:tcPr>
          <w:p w14:paraId="7F19738E" w14:textId="77777777" w:rsidR="00EF3714" w:rsidRPr="00EF3714" w:rsidRDefault="00EF3714" w:rsidP="00EF3714">
            <w:pPr>
              <w:spacing w:after="0" w:line="240" w:lineRule="auto"/>
              <w:rPr>
                <w:color w:val="000000"/>
              </w:rPr>
            </w:pPr>
            <w:r w:rsidRPr="00EF3714">
              <w:rPr>
                <w:color w:val="000000"/>
              </w:rPr>
              <w:t>.60</w:t>
            </w:r>
          </w:p>
        </w:tc>
        <w:tc>
          <w:tcPr>
            <w:tcW w:w="1257" w:type="dxa"/>
            <w:tcBorders>
              <w:top w:val="nil"/>
              <w:left w:val="nil"/>
              <w:bottom w:val="single" w:sz="4" w:space="0" w:color="auto"/>
              <w:right w:val="nil"/>
            </w:tcBorders>
            <w:shd w:val="clear" w:color="auto" w:fill="auto"/>
            <w:noWrap/>
            <w:vAlign w:val="center"/>
            <w:hideMark/>
          </w:tcPr>
          <w:p w14:paraId="0E730CB2" w14:textId="77777777" w:rsidR="00EF3714" w:rsidRPr="00EF3714" w:rsidRDefault="00EF3714" w:rsidP="00EF3714">
            <w:pPr>
              <w:spacing w:after="0" w:line="240" w:lineRule="auto"/>
              <w:rPr>
                <w:color w:val="000000"/>
              </w:rPr>
            </w:pPr>
            <w:r w:rsidRPr="00EF3714">
              <w:rPr>
                <w:color w:val="000000"/>
              </w:rPr>
              <w:t>.47</w:t>
            </w:r>
          </w:p>
        </w:tc>
      </w:tr>
      <w:tr w:rsidR="00EF3714" w:rsidRPr="00EF3714" w14:paraId="3F4CB30F" w14:textId="77777777" w:rsidTr="00EF3714">
        <w:trPr>
          <w:trHeight w:val="315"/>
        </w:trPr>
        <w:tc>
          <w:tcPr>
            <w:tcW w:w="1650" w:type="dxa"/>
            <w:tcBorders>
              <w:top w:val="single" w:sz="4" w:space="0" w:color="auto"/>
              <w:left w:val="nil"/>
              <w:bottom w:val="single" w:sz="4" w:space="0" w:color="auto"/>
              <w:right w:val="nil"/>
            </w:tcBorders>
            <w:shd w:val="clear" w:color="auto" w:fill="auto"/>
            <w:noWrap/>
            <w:vAlign w:val="center"/>
            <w:hideMark/>
          </w:tcPr>
          <w:p w14:paraId="0B1B9669" w14:textId="77777777" w:rsidR="00EF3714" w:rsidRPr="00EF3714" w:rsidRDefault="00EF3714" w:rsidP="00EF3714">
            <w:pPr>
              <w:spacing w:after="0" w:line="240" w:lineRule="auto"/>
              <w:jc w:val="left"/>
              <w:rPr>
                <w:b/>
                <w:bCs/>
                <w:color w:val="000000"/>
              </w:rPr>
            </w:pPr>
            <w:r w:rsidRPr="00EF3714">
              <w:rPr>
                <w:b/>
                <w:bCs/>
                <w:color w:val="000000"/>
              </w:rPr>
              <w:t>Average</w:t>
            </w:r>
          </w:p>
        </w:tc>
        <w:tc>
          <w:tcPr>
            <w:tcW w:w="963" w:type="dxa"/>
            <w:tcBorders>
              <w:top w:val="single" w:sz="4" w:space="0" w:color="auto"/>
              <w:left w:val="nil"/>
              <w:bottom w:val="single" w:sz="4" w:space="0" w:color="auto"/>
              <w:right w:val="nil"/>
            </w:tcBorders>
            <w:shd w:val="clear" w:color="auto" w:fill="auto"/>
            <w:noWrap/>
            <w:vAlign w:val="center"/>
            <w:hideMark/>
          </w:tcPr>
          <w:p w14:paraId="3C65F9E9" w14:textId="77777777" w:rsidR="00EF3714" w:rsidRPr="00EF3714" w:rsidRDefault="00EF3714" w:rsidP="00EF3714">
            <w:pPr>
              <w:spacing w:after="0" w:line="240" w:lineRule="auto"/>
              <w:rPr>
                <w:b/>
                <w:bCs/>
                <w:color w:val="000000"/>
              </w:rPr>
            </w:pPr>
            <w:r w:rsidRPr="00EF3714">
              <w:rPr>
                <w:b/>
                <w:bCs/>
                <w:color w:val="000000"/>
              </w:rPr>
              <w:t>.44</w:t>
            </w:r>
          </w:p>
        </w:tc>
        <w:tc>
          <w:tcPr>
            <w:tcW w:w="963" w:type="dxa"/>
            <w:tcBorders>
              <w:top w:val="single" w:sz="4" w:space="0" w:color="auto"/>
              <w:left w:val="nil"/>
              <w:bottom w:val="single" w:sz="4" w:space="0" w:color="auto"/>
              <w:right w:val="nil"/>
            </w:tcBorders>
            <w:shd w:val="clear" w:color="auto" w:fill="auto"/>
            <w:noWrap/>
            <w:vAlign w:val="center"/>
            <w:hideMark/>
          </w:tcPr>
          <w:p w14:paraId="2F31293A" w14:textId="77777777" w:rsidR="00EF3714" w:rsidRPr="00EF3714" w:rsidRDefault="00EF3714" w:rsidP="00EF3714">
            <w:pPr>
              <w:spacing w:after="0" w:line="240" w:lineRule="auto"/>
              <w:rPr>
                <w:b/>
                <w:bCs/>
                <w:color w:val="000000"/>
              </w:rPr>
            </w:pPr>
            <w:r w:rsidRPr="00EF3714">
              <w:rPr>
                <w:b/>
                <w:bCs/>
                <w:color w:val="000000"/>
              </w:rPr>
              <w:t>.47</w:t>
            </w:r>
          </w:p>
        </w:tc>
        <w:tc>
          <w:tcPr>
            <w:tcW w:w="963" w:type="dxa"/>
            <w:tcBorders>
              <w:top w:val="single" w:sz="4" w:space="0" w:color="auto"/>
              <w:left w:val="nil"/>
              <w:bottom w:val="single" w:sz="4" w:space="0" w:color="auto"/>
              <w:right w:val="nil"/>
            </w:tcBorders>
            <w:shd w:val="clear" w:color="auto" w:fill="auto"/>
            <w:noWrap/>
            <w:vAlign w:val="center"/>
            <w:hideMark/>
          </w:tcPr>
          <w:p w14:paraId="0C0757C9" w14:textId="77777777" w:rsidR="00EF3714" w:rsidRPr="00EF3714" w:rsidRDefault="00EF3714" w:rsidP="00EF3714">
            <w:pPr>
              <w:spacing w:after="0" w:line="240" w:lineRule="auto"/>
              <w:rPr>
                <w:b/>
                <w:bCs/>
                <w:color w:val="000000"/>
              </w:rPr>
            </w:pPr>
            <w:r w:rsidRPr="00EF3714">
              <w:rPr>
                <w:b/>
                <w:bCs/>
                <w:color w:val="000000"/>
              </w:rPr>
              <w:t>.45</w:t>
            </w:r>
          </w:p>
        </w:tc>
        <w:tc>
          <w:tcPr>
            <w:tcW w:w="963" w:type="dxa"/>
            <w:tcBorders>
              <w:top w:val="single" w:sz="4" w:space="0" w:color="auto"/>
              <w:left w:val="nil"/>
              <w:bottom w:val="single" w:sz="4" w:space="0" w:color="auto"/>
              <w:right w:val="nil"/>
            </w:tcBorders>
            <w:shd w:val="clear" w:color="auto" w:fill="auto"/>
            <w:noWrap/>
            <w:vAlign w:val="center"/>
            <w:hideMark/>
          </w:tcPr>
          <w:p w14:paraId="10BF78F6" w14:textId="77777777" w:rsidR="00EF3714" w:rsidRPr="00EF3714" w:rsidRDefault="00EF3714" w:rsidP="00EF3714">
            <w:pPr>
              <w:spacing w:after="0" w:line="240" w:lineRule="auto"/>
              <w:rPr>
                <w:b/>
                <w:bCs/>
                <w:color w:val="000000"/>
              </w:rPr>
            </w:pPr>
            <w:r w:rsidRPr="00EF3714">
              <w:rPr>
                <w:b/>
                <w:bCs/>
                <w:color w:val="000000"/>
              </w:rPr>
              <w:t>.31</w:t>
            </w:r>
          </w:p>
        </w:tc>
        <w:tc>
          <w:tcPr>
            <w:tcW w:w="963" w:type="dxa"/>
            <w:tcBorders>
              <w:top w:val="single" w:sz="4" w:space="0" w:color="auto"/>
              <w:left w:val="nil"/>
              <w:bottom w:val="single" w:sz="4" w:space="0" w:color="auto"/>
              <w:right w:val="nil"/>
            </w:tcBorders>
            <w:shd w:val="clear" w:color="auto" w:fill="auto"/>
            <w:noWrap/>
            <w:vAlign w:val="center"/>
            <w:hideMark/>
          </w:tcPr>
          <w:p w14:paraId="1C903F06" w14:textId="77777777" w:rsidR="00EF3714" w:rsidRPr="00EF3714" w:rsidRDefault="00EF3714" w:rsidP="00EF3714">
            <w:pPr>
              <w:spacing w:after="0" w:line="240" w:lineRule="auto"/>
              <w:rPr>
                <w:b/>
                <w:bCs/>
                <w:color w:val="000000"/>
              </w:rPr>
            </w:pPr>
            <w:r w:rsidRPr="00EF3714">
              <w:rPr>
                <w:b/>
                <w:bCs/>
                <w:color w:val="000000"/>
              </w:rPr>
              <w:t>.52</w:t>
            </w:r>
          </w:p>
        </w:tc>
        <w:tc>
          <w:tcPr>
            <w:tcW w:w="963" w:type="dxa"/>
            <w:tcBorders>
              <w:top w:val="single" w:sz="4" w:space="0" w:color="auto"/>
              <w:left w:val="nil"/>
              <w:bottom w:val="single" w:sz="4" w:space="0" w:color="auto"/>
              <w:right w:val="nil"/>
            </w:tcBorders>
            <w:shd w:val="clear" w:color="auto" w:fill="auto"/>
            <w:noWrap/>
            <w:vAlign w:val="center"/>
            <w:hideMark/>
          </w:tcPr>
          <w:p w14:paraId="64CE91DC" w14:textId="77777777" w:rsidR="00EF3714" w:rsidRPr="00EF3714" w:rsidRDefault="00EF3714" w:rsidP="00EF3714">
            <w:pPr>
              <w:spacing w:after="0" w:line="240" w:lineRule="auto"/>
              <w:rPr>
                <w:b/>
                <w:bCs/>
                <w:color w:val="000000"/>
              </w:rPr>
            </w:pPr>
            <w:r w:rsidRPr="00EF3714">
              <w:rPr>
                <w:b/>
                <w:bCs/>
                <w:color w:val="000000"/>
              </w:rPr>
              <w:t>.35</w:t>
            </w:r>
          </w:p>
        </w:tc>
        <w:tc>
          <w:tcPr>
            <w:tcW w:w="963" w:type="dxa"/>
            <w:tcBorders>
              <w:top w:val="single" w:sz="4" w:space="0" w:color="auto"/>
              <w:left w:val="nil"/>
              <w:bottom w:val="single" w:sz="4" w:space="0" w:color="auto"/>
              <w:right w:val="nil"/>
            </w:tcBorders>
            <w:shd w:val="clear" w:color="auto" w:fill="auto"/>
            <w:noWrap/>
            <w:vAlign w:val="center"/>
            <w:hideMark/>
          </w:tcPr>
          <w:p w14:paraId="63BE861A" w14:textId="77777777" w:rsidR="00EF3714" w:rsidRPr="00EF3714" w:rsidRDefault="00EF3714" w:rsidP="00EF3714">
            <w:pPr>
              <w:spacing w:after="0" w:line="240" w:lineRule="auto"/>
              <w:rPr>
                <w:b/>
                <w:bCs/>
                <w:color w:val="000000"/>
              </w:rPr>
            </w:pPr>
            <w:r w:rsidRPr="00EF3714">
              <w:rPr>
                <w:b/>
                <w:bCs/>
                <w:color w:val="000000"/>
              </w:rPr>
              <w:t>.59</w:t>
            </w:r>
          </w:p>
        </w:tc>
        <w:tc>
          <w:tcPr>
            <w:tcW w:w="963" w:type="dxa"/>
            <w:tcBorders>
              <w:top w:val="single" w:sz="4" w:space="0" w:color="auto"/>
              <w:left w:val="nil"/>
              <w:bottom w:val="single" w:sz="4" w:space="0" w:color="auto"/>
              <w:right w:val="nil"/>
            </w:tcBorders>
            <w:shd w:val="clear" w:color="auto" w:fill="auto"/>
            <w:noWrap/>
            <w:vAlign w:val="center"/>
            <w:hideMark/>
          </w:tcPr>
          <w:p w14:paraId="1F2B83D7" w14:textId="77777777" w:rsidR="00EF3714" w:rsidRPr="00EF3714" w:rsidRDefault="00EF3714" w:rsidP="00EF3714">
            <w:pPr>
              <w:spacing w:after="0" w:line="240" w:lineRule="auto"/>
              <w:rPr>
                <w:b/>
                <w:bCs/>
                <w:color w:val="000000"/>
              </w:rPr>
            </w:pPr>
            <w:r w:rsidRPr="00EF3714">
              <w:rPr>
                <w:b/>
                <w:bCs/>
                <w:color w:val="000000"/>
              </w:rPr>
              <w:t>.52</w:t>
            </w:r>
          </w:p>
        </w:tc>
        <w:tc>
          <w:tcPr>
            <w:tcW w:w="963" w:type="dxa"/>
            <w:tcBorders>
              <w:top w:val="single" w:sz="4" w:space="0" w:color="auto"/>
              <w:left w:val="nil"/>
              <w:bottom w:val="single" w:sz="4" w:space="0" w:color="auto"/>
              <w:right w:val="nil"/>
            </w:tcBorders>
            <w:shd w:val="clear" w:color="auto" w:fill="auto"/>
            <w:noWrap/>
            <w:vAlign w:val="center"/>
            <w:hideMark/>
          </w:tcPr>
          <w:p w14:paraId="636D9443" w14:textId="77777777" w:rsidR="00EF3714" w:rsidRPr="00EF3714" w:rsidRDefault="00EF3714" w:rsidP="00EF3714">
            <w:pPr>
              <w:spacing w:after="0" w:line="240" w:lineRule="auto"/>
              <w:rPr>
                <w:b/>
                <w:bCs/>
                <w:color w:val="000000"/>
              </w:rPr>
            </w:pPr>
            <w:r w:rsidRPr="00EF3714">
              <w:rPr>
                <w:b/>
                <w:bCs/>
                <w:color w:val="000000"/>
              </w:rPr>
              <w:t>.62</w:t>
            </w:r>
          </w:p>
        </w:tc>
        <w:tc>
          <w:tcPr>
            <w:tcW w:w="1257" w:type="dxa"/>
            <w:tcBorders>
              <w:top w:val="single" w:sz="4" w:space="0" w:color="auto"/>
              <w:left w:val="nil"/>
              <w:bottom w:val="single" w:sz="4" w:space="0" w:color="auto"/>
              <w:right w:val="nil"/>
            </w:tcBorders>
            <w:shd w:val="clear" w:color="auto" w:fill="auto"/>
            <w:noWrap/>
            <w:vAlign w:val="center"/>
            <w:hideMark/>
          </w:tcPr>
          <w:p w14:paraId="7DDDC147" w14:textId="77777777" w:rsidR="00EF3714" w:rsidRPr="00EF3714" w:rsidRDefault="00EF3714" w:rsidP="00EF3714">
            <w:pPr>
              <w:spacing w:after="0" w:line="240" w:lineRule="auto"/>
              <w:rPr>
                <w:b/>
                <w:bCs/>
                <w:color w:val="000000"/>
              </w:rPr>
            </w:pPr>
            <w:r w:rsidRPr="00EF3714">
              <w:rPr>
                <w:b/>
                <w:bCs/>
                <w:color w:val="000000"/>
              </w:rPr>
              <w:t>.47</w:t>
            </w:r>
          </w:p>
        </w:tc>
      </w:tr>
    </w:tbl>
    <w:p w14:paraId="4B9C45E9" w14:textId="77777777" w:rsidR="00EF3714" w:rsidRDefault="00EF3714" w:rsidP="00C66D5C">
      <w:pPr>
        <w:spacing w:after="0"/>
        <w:ind w:firstLine="720"/>
        <w:jc w:val="left"/>
        <w:sectPr w:rsidR="00EF3714" w:rsidSect="00A86A49">
          <w:headerReference w:type="first" r:id="rId12"/>
          <w:pgSz w:w="15840" w:h="12240" w:orient="landscape"/>
          <w:pgMar w:top="1440" w:right="1440" w:bottom="1440" w:left="1440" w:header="720" w:footer="720" w:gutter="0"/>
          <w:lnNumType w:countBy="1" w:restart="continuous"/>
          <w:pgNumType w:start="0"/>
          <w:cols w:space="720" w:equalWidth="0">
            <w:col w:w="9360"/>
          </w:cols>
          <w:titlePg/>
          <w:docGrid w:linePitch="326"/>
        </w:sectPr>
      </w:pPr>
    </w:p>
    <w:p w14:paraId="2DE4122A" w14:textId="113F7C9D" w:rsidR="00EF3714" w:rsidRPr="004003E8" w:rsidRDefault="00EF3714" w:rsidP="00C66D5C">
      <w:pPr>
        <w:spacing w:after="0"/>
        <w:ind w:firstLine="720"/>
        <w:jc w:val="left"/>
      </w:pPr>
    </w:p>
    <w:p w14:paraId="272C33DC" w14:textId="26ACB46D" w:rsidR="00135A64" w:rsidRDefault="00135A64" w:rsidP="00C66D5C">
      <w:pPr>
        <w:spacing w:after="0"/>
        <w:ind w:left="720"/>
        <w:jc w:val="left"/>
        <w:rPr>
          <w:b/>
          <w:bCs/>
        </w:rPr>
      </w:pPr>
      <w:r w:rsidRPr="00DE1B22">
        <w:rPr>
          <w:b/>
          <w:bCs/>
        </w:rPr>
        <w:t>Communality Score</w:t>
      </w:r>
      <w:r w:rsidR="00826B56">
        <w:rPr>
          <w:b/>
          <w:bCs/>
        </w:rPr>
        <w:t>s</w:t>
      </w:r>
      <w:r w:rsidR="00D2779C">
        <w:rPr>
          <w:b/>
          <w:bCs/>
        </w:rPr>
        <w:t xml:space="preserve"> (</w:t>
      </w:r>
      <m:oMath>
        <m:acc>
          <m:accPr>
            <m:chr m:val="̅"/>
            <m:ctrlPr>
              <w:rPr>
                <w:rFonts w:ascii="Cambria Math" w:hAnsi="Cambria Math"/>
                <w:b/>
                <w:bCs/>
                <w:i/>
                <w:iCs/>
              </w:rPr>
            </m:ctrlPr>
          </m:accPr>
          <m:e>
            <m:r>
              <m:rPr>
                <m:sty m:val="bi"/>
              </m:rPr>
              <w:rPr>
                <w:rFonts w:ascii="Cambria Math" w:hAnsi="Cambria Math"/>
              </w:rPr>
              <m:t>h</m:t>
            </m:r>
          </m:e>
        </m:acc>
      </m:oMath>
      <w:r w:rsidR="00D2779C" w:rsidRPr="00D0596B">
        <w:rPr>
          <w:b/>
          <w:bCs/>
          <w:vertAlign w:val="superscript"/>
        </w:rPr>
        <w:t>2</w:t>
      </w:r>
      <w:r w:rsidR="00D2779C">
        <w:rPr>
          <w:b/>
          <w:bCs/>
        </w:rPr>
        <w:t>)</w:t>
      </w:r>
      <w:r w:rsidR="00DE1B22">
        <w:rPr>
          <w:b/>
          <w:bCs/>
        </w:rPr>
        <w:t>.</w:t>
      </w:r>
    </w:p>
    <w:p w14:paraId="0829FF99" w14:textId="5508EEC9" w:rsidR="0038526C" w:rsidRDefault="006E6084" w:rsidP="001F6719">
      <w:pPr>
        <w:spacing w:after="0"/>
        <w:ind w:firstLine="720"/>
        <w:jc w:val="left"/>
      </w:pPr>
      <w:r>
        <w:t>Communality scores are the square of the factor loadings of the item on the latent trait and represent the percent of variance in the item that can be explained by the latent trait</w:t>
      </w:r>
      <w:r w:rsidR="008D7548">
        <w:t xml:space="preserve"> (</w:t>
      </w:r>
      <w:r w:rsidR="00891507">
        <w:t>S</w:t>
      </w:r>
      <w:r w:rsidR="008D7548">
        <w:t>locum-Gori &amp; Zumbo, 2011)</w:t>
      </w:r>
      <w:r>
        <w:t xml:space="preserve">. </w:t>
      </w:r>
      <w:r w:rsidR="00000EC1">
        <w:t>As communality scores are essentially correlation coefficients, the results can be interpreted similarly (Costello &amp; Osborne, 2005), with scores</w:t>
      </w:r>
      <w:r w:rsidR="0038526C">
        <w:t xml:space="preserve"> of</w:t>
      </w:r>
      <w:r w:rsidR="00000EC1">
        <w:t xml:space="preserve"> less than .40 suggesting the items may not be strongly related to the latent variable.</w:t>
      </w:r>
      <w:r>
        <w:t xml:space="preserve"> </w:t>
      </w:r>
      <w:r w:rsidR="0038526C">
        <w:t>Tables 5 and 6 present the communality scores for the SHS and IHS</w:t>
      </w:r>
      <w:r w:rsidR="00E52AEB">
        <w:t xml:space="preserve"> across countries</w:t>
      </w:r>
      <w:r w:rsidR="0038526C">
        <w:t xml:space="preserve">, respectively. </w:t>
      </w:r>
      <w:r w:rsidR="001F6719">
        <w:t xml:space="preserve">Because the two happiness measures do not have an equal number of items, we also </w:t>
      </w:r>
      <w:r w:rsidR="0038526C">
        <w:t xml:space="preserve">calculated </w:t>
      </w:r>
      <w:r w:rsidR="001F6719">
        <w:t xml:space="preserve">the average communality score for each measure </w:t>
      </w:r>
      <w:r w:rsidR="001F6719">
        <w:fldChar w:fldCharType="begin" w:fldLock="1"/>
      </w:r>
      <w:r w:rsidR="00611254">
        <w:instrText>ADDIN CSL_CITATION {"citationItems":[{"id":"ITEM-1","itemData":{"DOI":"10.1037/pas0000754","ISSN":"1939134X","abstract":"Reliability is a fundamental problem for measurement in all of science. Although defined in multiple ways, and estimated in even more ways, the basic concepts seem straightforward and need to be understood by practitioners as well as methodologists. Reliability theory is not just for the psychometrician estimating latent variables, it is for everyone who wants to make inferences from measures of individuals or of groups. For the case of a single test administration, we consider multiple measures of reliability, ranging from the worst (β) to average (α, λ3) to best (λ4) split half reliabilities, and consider why model-based estimates (ωh, ωt) should be reported. We also address the utility of test-retest and alternate form reliabilities. The advantages of immediate versus delayed retests to decompose observed score variance into specific, state, and trait scores are discussed. But reliability is not just for test scores, it is also important when evaluating the use of ratings. Estimates that may be applied to continuous data include a set of intraclass correlations while discrete categorical data needs to take advantage of the family of κ statistics. Examples of these various reliability estimates are given using state and trait measures of anxiety given with different delays and under different conditions. An online supplemental materials is provided with more detail and elaboration. The online supplemental materials is also used to demonstrate applications of open source software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Assessment","id":"ITEM-1","issue":"12","issued":{"date-parts":[["2019"]]},"page":"1395-1411","title":"Reliability from α to ω: A tutorial","type":"article-journal","volume":"31"},"uris":["http://www.mendeley.com/documents/?uuid=5d742a7a-daa4-4bfc-99f5-16aee31e128a"]}],"mendeley":{"formattedCitation":"(Revelle &amp; Condon, 2019)","plainTextFormattedCitation":"(Revelle &amp; Condon, 2019)","previouslyFormattedCitation":"(Revelle &amp; Condon, 2019)"},"properties":{"noteIndex":0},"schema":"https://github.com/citation-style-language/schema/raw/master/csl-citation.json"}</w:instrText>
      </w:r>
      <w:r w:rsidR="001F6719">
        <w:fldChar w:fldCharType="separate"/>
      </w:r>
      <w:r w:rsidR="001F6719" w:rsidRPr="001F6719">
        <w:rPr>
          <w:noProof/>
        </w:rPr>
        <w:t>(Revelle &amp; Condon, 2019)</w:t>
      </w:r>
      <w:r w:rsidR="001F6719">
        <w:fldChar w:fldCharType="end"/>
      </w:r>
      <w:r w:rsidR="0038526C">
        <w:t>, presented in Table 4</w:t>
      </w:r>
      <w:r w:rsidR="001F6719">
        <w:t xml:space="preserve">. </w:t>
      </w:r>
    </w:p>
    <w:p w14:paraId="3E477846" w14:textId="6C0D2B01" w:rsidR="00E52AEB" w:rsidRDefault="0011243D" w:rsidP="0011243D">
      <w:pPr>
        <w:spacing w:after="0"/>
        <w:jc w:val="left"/>
      </w:pPr>
      <w:r>
        <w:tab/>
      </w:r>
      <w:r w:rsidR="00E52AEB">
        <w:t xml:space="preserve">The bottom row of Table 5 presents the average communality score for each item of the Subjective Happiness Scale across countries. The </w:t>
      </w:r>
      <w:r>
        <w:t xml:space="preserve">first 3 items </w:t>
      </w:r>
      <w:r w:rsidR="00E52AEB">
        <w:t xml:space="preserve">of the SHS </w:t>
      </w:r>
      <w:r>
        <w:t>had high communality scores</w:t>
      </w:r>
      <w:r w:rsidR="00FC4E2E">
        <w:t xml:space="preserve"> (ranging from .60 to .70)</w:t>
      </w:r>
      <w:r>
        <w:t xml:space="preserve">, suggesting a high proportion of their variability could be explained by the latent independent happiness variable. However, there was a </w:t>
      </w:r>
      <w:r w:rsidR="00E52AEB">
        <w:t>substantial</w:t>
      </w:r>
      <w:r>
        <w:t xml:space="preserve"> drop</w:t>
      </w:r>
      <w:r w:rsidR="00E52AEB">
        <w:t xml:space="preserve"> in communality scores</w:t>
      </w:r>
      <w:r>
        <w:t xml:space="preserve"> for the fourth item on the scale. The communality score </w:t>
      </w:r>
      <w:r w:rsidR="00FC4E2E">
        <w:t xml:space="preserve">for the SHS item #4 </w:t>
      </w:r>
      <w:r>
        <w:t xml:space="preserve">was less than .40, suggesting </w:t>
      </w:r>
      <w:r w:rsidR="00FC4E2E">
        <w:t xml:space="preserve">this item may not be as strongly related </w:t>
      </w:r>
      <w:r w:rsidR="00564944">
        <w:t>as</w:t>
      </w:r>
      <w:r w:rsidR="00FC4E2E">
        <w:t xml:space="preserve"> the other items. Notably, item #4 is also the only reversed item on the scale </w:t>
      </w:r>
      <w:r w:rsidR="00E52AEB">
        <w:t>– “</w:t>
      </w:r>
      <w:r w:rsidR="00E52AEB" w:rsidRPr="009F5732">
        <w:t>Some people are generally not very happy…To what extent does this characterize you?</w:t>
      </w:r>
      <w:r w:rsidR="00E52AEB">
        <w:t>”</w:t>
      </w:r>
      <w:r w:rsidR="00564944">
        <w:t xml:space="preserve">. </w:t>
      </w:r>
      <w:r w:rsidR="00FB68B7">
        <w:t>For some countries, such as Kenya, Vietnam, and Pakistan, the communality scores for the first three items were all acceptable while the communality score for item #4 was almost zero</w:t>
      </w:r>
      <w:r w:rsidR="00B1031C">
        <w:t>. Even in the United States, the country of origin for the measure, the communality score for item #4 might not be considered acceptable.</w:t>
      </w:r>
      <w:r w:rsidR="00FB68B7">
        <w:t xml:space="preserve"> </w:t>
      </w:r>
      <w:r w:rsidR="00B1031C">
        <w:t xml:space="preserve">Overall, this </w:t>
      </w:r>
      <w:r w:rsidR="00FB68B7">
        <w:t>suggest</w:t>
      </w:r>
      <w:r w:rsidR="00B1031C">
        <w:t>s</w:t>
      </w:r>
      <w:r w:rsidR="00FB68B7">
        <w:t xml:space="preserve"> this item should be removed to improve the overall reliability of the measure. </w:t>
      </w:r>
    </w:p>
    <w:p w14:paraId="32188F6B" w14:textId="0DA52EAC" w:rsidR="008D7548" w:rsidRDefault="008D7548" w:rsidP="0011243D">
      <w:pPr>
        <w:spacing w:after="0"/>
        <w:jc w:val="left"/>
      </w:pPr>
      <w:r>
        <w:lastRenderedPageBreak/>
        <w:tab/>
        <w:t xml:space="preserve">For the Interdependent Happiness Scale, the communality scores for all of the items were much more consistent. </w:t>
      </w:r>
      <w:r w:rsidR="0034502B">
        <w:t xml:space="preserve">Two of the items (#4 &amp; #6) had average communality scores below </w:t>
      </w:r>
      <w:r w:rsidR="008E7E53">
        <w:t>.40 but</w:t>
      </w:r>
      <w:r w:rsidR="0034502B">
        <w:t xml:space="preserve"> were not substantially lower than the other items that ranged from .40 to .60. </w:t>
      </w:r>
      <w:r w:rsidR="008E7E53">
        <w:t xml:space="preserve">These two items from the IHS pertain to the quiescence component of </w:t>
      </w:r>
      <w:r w:rsidR="000C6FB5">
        <w:t xml:space="preserve">the scale, regarding the absence of negative aspects in one’s life. However, while these two items were lowest on average, these items were not consistently low within countries. For example, Austria and Brazil had low (&lt;.30) communality scores for item #4 but extremely high communality scores for #6. </w:t>
      </w:r>
      <w:r w:rsidR="00B1031C">
        <w:t xml:space="preserve">However, in Japan, the country of origin for the IHS, the communality score for item #6 was considerably lower. </w:t>
      </w:r>
      <w:r w:rsidR="00BD219C">
        <w:t>The item with the highest overall average communality score was #9, “</w:t>
      </w:r>
      <w:r w:rsidR="00BD219C" w:rsidRPr="00BD219C">
        <w:t>I generally believe that things are going well for me in its own way as they are for others around me</w:t>
      </w:r>
      <w:r w:rsidR="00F90943">
        <w:t>,</w:t>
      </w:r>
      <w:r w:rsidR="00BD219C">
        <w:t>”</w:t>
      </w:r>
      <w:r w:rsidR="00F90943">
        <w:t xml:space="preserve"> followed by items #7 and #8. These last three items on the measure pertain to the embeddedness aspect of interdependent happiness.</w:t>
      </w:r>
    </w:p>
    <w:p w14:paraId="0E67A642" w14:textId="7BD2171D" w:rsidR="00F0109B" w:rsidRDefault="00564944" w:rsidP="00C66D5C">
      <w:pPr>
        <w:spacing w:after="0"/>
        <w:jc w:val="left"/>
      </w:pPr>
      <w:r>
        <w:tab/>
        <w:t xml:space="preserve">Each </w:t>
      </w:r>
      <w:r w:rsidR="00220262">
        <w:t xml:space="preserve">measure’s </w:t>
      </w:r>
      <w:r w:rsidR="001F6719">
        <w:t xml:space="preserve">average communality score was calculated as the average of each item’s </w:t>
      </w:r>
      <w:r w:rsidR="0011243D">
        <w:t>communality score within each country</w:t>
      </w:r>
      <w:r w:rsidR="00B1031C">
        <w:t xml:space="preserve"> and then averaged across countries</w:t>
      </w:r>
      <w:r w:rsidR="0045083C">
        <w:t xml:space="preserve"> (see Table 4)</w:t>
      </w:r>
      <w:r w:rsidR="001F6719">
        <w:t xml:space="preserve">. </w:t>
      </w:r>
      <w:r w:rsidR="00220262">
        <w:t xml:space="preserve">Across all countries, the average communality scores for the SHS </w:t>
      </w:r>
      <w:r w:rsidR="00220262" w:rsidRPr="00220262">
        <w:t>(</w:t>
      </w:r>
      <m:oMath>
        <m:acc>
          <m:accPr>
            <m:chr m:val="̅"/>
            <m:ctrlPr>
              <w:rPr>
                <w:rFonts w:ascii="Cambria Math" w:hAnsi="Cambria Math"/>
                <w:i/>
                <w:iCs/>
              </w:rPr>
            </m:ctrlPr>
          </m:accPr>
          <m:e>
            <m:r>
              <w:rPr>
                <w:rFonts w:ascii="Cambria Math" w:hAnsi="Cambria Math"/>
              </w:rPr>
              <m:t>h</m:t>
            </m:r>
          </m:e>
        </m:acc>
      </m:oMath>
      <w:r w:rsidR="00220262" w:rsidRPr="00220262">
        <w:rPr>
          <w:vertAlign w:val="superscript"/>
        </w:rPr>
        <w:t>2</w:t>
      </w:r>
      <w:r w:rsidR="00220262" w:rsidRPr="00220262">
        <w:rPr>
          <w:vertAlign w:val="subscript"/>
        </w:rPr>
        <w:t>Mean</w:t>
      </w:r>
      <w:r w:rsidR="00220262">
        <w:rPr>
          <w:vertAlign w:val="subscript"/>
        </w:rPr>
        <w:t xml:space="preserve"> </w:t>
      </w:r>
      <w:r w:rsidR="00220262">
        <w:t>= .62</w:t>
      </w:r>
      <w:r w:rsidR="00220262" w:rsidRPr="00220262">
        <w:t xml:space="preserve">) </w:t>
      </w:r>
      <w:r w:rsidR="00220262">
        <w:t xml:space="preserve">were higher than the average communality scores for the IHS </w:t>
      </w:r>
      <w:r w:rsidR="00220262" w:rsidRPr="00220262">
        <w:t>(</w:t>
      </w:r>
      <m:oMath>
        <m:acc>
          <m:accPr>
            <m:chr m:val="̅"/>
            <m:ctrlPr>
              <w:rPr>
                <w:rFonts w:ascii="Cambria Math" w:hAnsi="Cambria Math"/>
                <w:i/>
                <w:iCs/>
              </w:rPr>
            </m:ctrlPr>
          </m:accPr>
          <m:e>
            <m:r>
              <w:rPr>
                <w:rFonts w:ascii="Cambria Math" w:hAnsi="Cambria Math"/>
              </w:rPr>
              <m:t>h</m:t>
            </m:r>
          </m:e>
        </m:acc>
      </m:oMath>
      <w:r w:rsidR="00220262" w:rsidRPr="00220262">
        <w:rPr>
          <w:vertAlign w:val="superscript"/>
        </w:rPr>
        <w:t>2</w:t>
      </w:r>
      <w:r w:rsidR="00220262" w:rsidRPr="00220262">
        <w:rPr>
          <w:vertAlign w:val="subscript"/>
        </w:rPr>
        <w:t>Mean</w:t>
      </w:r>
      <w:r w:rsidR="00220262">
        <w:rPr>
          <w:vertAlign w:val="subscript"/>
        </w:rPr>
        <w:t xml:space="preserve"> </w:t>
      </w:r>
      <w:r w:rsidR="00220262">
        <w:t xml:space="preserve">= .47). </w:t>
      </w:r>
      <w:r w:rsidR="002A10A9">
        <w:t xml:space="preserve">The countries with the lowest average communality scores for the SHS were Senegal </w:t>
      </w:r>
      <w:r w:rsidR="002A10A9" w:rsidRPr="00220262">
        <w:t>(</w:t>
      </w:r>
      <m:oMath>
        <m:acc>
          <m:accPr>
            <m:chr m:val="̅"/>
            <m:ctrlPr>
              <w:rPr>
                <w:rFonts w:ascii="Cambria Math" w:hAnsi="Cambria Math"/>
                <w:i/>
                <w:iCs/>
              </w:rPr>
            </m:ctrlPr>
          </m:accPr>
          <m:e>
            <m:r>
              <w:rPr>
                <w:rFonts w:ascii="Cambria Math" w:hAnsi="Cambria Math"/>
              </w:rPr>
              <m:t>h</m:t>
            </m:r>
          </m:e>
        </m:acc>
      </m:oMath>
      <w:r w:rsidR="002A10A9" w:rsidRPr="00220262">
        <w:rPr>
          <w:vertAlign w:val="superscript"/>
        </w:rPr>
        <w:t>2</w:t>
      </w:r>
      <w:r w:rsidR="002A10A9">
        <w:rPr>
          <w:vertAlign w:val="subscript"/>
        </w:rPr>
        <w:t xml:space="preserve"> </w:t>
      </w:r>
      <w:r w:rsidR="002A10A9">
        <w:t xml:space="preserve">= .31) and India </w:t>
      </w:r>
      <w:r w:rsidR="002A10A9" w:rsidRPr="00220262">
        <w:t>(</w:t>
      </w:r>
      <m:oMath>
        <m:acc>
          <m:accPr>
            <m:chr m:val="̅"/>
            <m:ctrlPr>
              <w:rPr>
                <w:rFonts w:ascii="Cambria Math" w:hAnsi="Cambria Math"/>
                <w:i/>
                <w:iCs/>
              </w:rPr>
            </m:ctrlPr>
          </m:accPr>
          <m:e>
            <m:r>
              <w:rPr>
                <w:rFonts w:ascii="Cambria Math" w:hAnsi="Cambria Math"/>
              </w:rPr>
              <m:t>h</m:t>
            </m:r>
          </m:e>
        </m:acc>
      </m:oMath>
      <w:r w:rsidR="002A10A9" w:rsidRPr="00220262">
        <w:rPr>
          <w:vertAlign w:val="superscript"/>
        </w:rPr>
        <w:t>2</w:t>
      </w:r>
      <w:r w:rsidR="002A10A9">
        <w:rPr>
          <w:vertAlign w:val="subscript"/>
        </w:rPr>
        <w:t xml:space="preserve"> </w:t>
      </w:r>
      <w:r w:rsidR="002A10A9">
        <w:t xml:space="preserve">= .35), while the highest scores were in </w:t>
      </w:r>
      <w:r w:rsidR="00E3460A">
        <w:t xml:space="preserve">the United Kingdom </w:t>
      </w:r>
      <w:r w:rsidR="00E3460A" w:rsidRPr="00220262">
        <w:t>(</w:t>
      </w:r>
      <m:oMath>
        <m:acc>
          <m:accPr>
            <m:chr m:val="̅"/>
            <m:ctrlPr>
              <w:rPr>
                <w:rFonts w:ascii="Cambria Math" w:hAnsi="Cambria Math"/>
                <w:i/>
                <w:iCs/>
              </w:rPr>
            </m:ctrlPr>
          </m:accPr>
          <m:e>
            <m:r>
              <w:rPr>
                <w:rFonts w:ascii="Cambria Math" w:hAnsi="Cambria Math"/>
              </w:rPr>
              <m:t>h</m:t>
            </m:r>
          </m:e>
        </m:acc>
      </m:oMath>
      <w:r w:rsidR="00E3460A" w:rsidRPr="00220262">
        <w:rPr>
          <w:vertAlign w:val="superscript"/>
        </w:rPr>
        <w:t>2</w:t>
      </w:r>
      <w:r w:rsidR="00E3460A">
        <w:rPr>
          <w:vertAlign w:val="subscript"/>
        </w:rPr>
        <w:t xml:space="preserve"> </w:t>
      </w:r>
      <w:r w:rsidR="00E3460A">
        <w:t xml:space="preserve">= .80) and Belgium </w:t>
      </w:r>
      <w:r w:rsidR="00E3460A" w:rsidRPr="00220262">
        <w:t>(</w:t>
      </w:r>
      <m:oMath>
        <m:acc>
          <m:accPr>
            <m:chr m:val="̅"/>
            <m:ctrlPr>
              <w:rPr>
                <w:rFonts w:ascii="Cambria Math" w:hAnsi="Cambria Math"/>
                <w:i/>
                <w:iCs/>
              </w:rPr>
            </m:ctrlPr>
          </m:accPr>
          <m:e>
            <m:r>
              <w:rPr>
                <w:rFonts w:ascii="Cambria Math" w:hAnsi="Cambria Math"/>
              </w:rPr>
              <m:t>h</m:t>
            </m:r>
          </m:e>
        </m:acc>
      </m:oMath>
      <w:r w:rsidR="00E3460A" w:rsidRPr="00220262">
        <w:rPr>
          <w:vertAlign w:val="superscript"/>
        </w:rPr>
        <w:t>2</w:t>
      </w:r>
      <w:r w:rsidR="00E3460A">
        <w:rPr>
          <w:vertAlign w:val="subscript"/>
        </w:rPr>
        <w:t xml:space="preserve"> </w:t>
      </w:r>
      <w:r w:rsidR="00E3460A">
        <w:t xml:space="preserve">= .78). </w:t>
      </w:r>
      <w:r w:rsidR="00905879">
        <w:t xml:space="preserve">Overall, the </w:t>
      </w:r>
      <w:r w:rsidR="00C517C2">
        <w:t>lowest</w:t>
      </w:r>
      <w:r w:rsidR="00905879">
        <w:t xml:space="preserve"> average communality scores for the SHS were in Africa </w:t>
      </w:r>
      <w:r w:rsidR="00905879" w:rsidRPr="00220262">
        <w:t>(</w:t>
      </w:r>
      <m:oMath>
        <m:acc>
          <m:accPr>
            <m:chr m:val="̅"/>
            <m:ctrlPr>
              <w:rPr>
                <w:rFonts w:ascii="Cambria Math" w:hAnsi="Cambria Math"/>
                <w:i/>
                <w:iCs/>
              </w:rPr>
            </m:ctrlPr>
          </m:accPr>
          <m:e>
            <m:r>
              <w:rPr>
                <w:rFonts w:ascii="Cambria Math" w:hAnsi="Cambria Math"/>
              </w:rPr>
              <m:t>h</m:t>
            </m:r>
          </m:e>
        </m:acc>
      </m:oMath>
      <w:r w:rsidR="00905879" w:rsidRPr="00220262">
        <w:rPr>
          <w:vertAlign w:val="superscript"/>
        </w:rPr>
        <w:t>2</w:t>
      </w:r>
      <w:r w:rsidR="00905879" w:rsidRPr="00220262">
        <w:rPr>
          <w:vertAlign w:val="subscript"/>
        </w:rPr>
        <w:t>Mean</w:t>
      </w:r>
      <w:r w:rsidR="00905879">
        <w:rPr>
          <w:vertAlign w:val="subscript"/>
        </w:rPr>
        <w:t xml:space="preserve"> </w:t>
      </w:r>
      <w:r w:rsidR="00905879">
        <w:t>= .48) while the highest average communality scores</w:t>
      </w:r>
      <w:r w:rsidR="00E3460A">
        <w:t xml:space="preserve"> </w:t>
      </w:r>
      <w:r w:rsidR="00905879">
        <w:t xml:space="preserve">were in Western Europe </w:t>
      </w:r>
      <w:r w:rsidR="00905879" w:rsidRPr="00220262">
        <w:t>(</w:t>
      </w:r>
      <m:oMath>
        <m:acc>
          <m:accPr>
            <m:chr m:val="̅"/>
            <m:ctrlPr>
              <w:rPr>
                <w:rFonts w:ascii="Cambria Math" w:hAnsi="Cambria Math"/>
                <w:i/>
                <w:iCs/>
              </w:rPr>
            </m:ctrlPr>
          </m:accPr>
          <m:e>
            <m:r>
              <w:rPr>
                <w:rFonts w:ascii="Cambria Math" w:hAnsi="Cambria Math"/>
              </w:rPr>
              <m:t>h</m:t>
            </m:r>
          </m:e>
        </m:acc>
      </m:oMath>
      <w:r w:rsidR="00905879" w:rsidRPr="00220262">
        <w:rPr>
          <w:vertAlign w:val="superscript"/>
        </w:rPr>
        <w:t>2</w:t>
      </w:r>
      <w:r w:rsidR="00905879" w:rsidRPr="00220262">
        <w:rPr>
          <w:vertAlign w:val="subscript"/>
        </w:rPr>
        <w:t>Mean</w:t>
      </w:r>
      <w:r w:rsidR="00905879">
        <w:rPr>
          <w:vertAlign w:val="subscript"/>
        </w:rPr>
        <w:t xml:space="preserve"> </w:t>
      </w:r>
      <w:r w:rsidR="00905879">
        <w:t xml:space="preserve">= .71). </w:t>
      </w:r>
      <w:r w:rsidR="002C6734">
        <w:t xml:space="preserve">For the IHS, the countries with the lowest average communality scores were Pakistan </w:t>
      </w:r>
      <w:r w:rsidR="002C6734" w:rsidRPr="00220262">
        <w:t>(</w:t>
      </w:r>
      <m:oMath>
        <m:acc>
          <m:accPr>
            <m:chr m:val="̅"/>
            <m:ctrlPr>
              <w:rPr>
                <w:rFonts w:ascii="Cambria Math" w:hAnsi="Cambria Math"/>
                <w:i/>
                <w:iCs/>
              </w:rPr>
            </m:ctrlPr>
          </m:accPr>
          <m:e>
            <m:r>
              <w:rPr>
                <w:rFonts w:ascii="Cambria Math" w:hAnsi="Cambria Math"/>
              </w:rPr>
              <m:t>h</m:t>
            </m:r>
          </m:e>
        </m:acc>
      </m:oMath>
      <w:r w:rsidR="002C6734" w:rsidRPr="00220262">
        <w:rPr>
          <w:vertAlign w:val="superscript"/>
        </w:rPr>
        <w:t>2</w:t>
      </w:r>
      <w:r w:rsidR="002C6734">
        <w:rPr>
          <w:vertAlign w:val="subscript"/>
        </w:rPr>
        <w:t xml:space="preserve"> </w:t>
      </w:r>
      <w:r w:rsidR="002C6734">
        <w:t xml:space="preserve">= .36) and Uganda </w:t>
      </w:r>
      <w:r w:rsidR="002C6734" w:rsidRPr="00220262">
        <w:t>(</w:t>
      </w:r>
      <m:oMath>
        <m:acc>
          <m:accPr>
            <m:chr m:val="̅"/>
            <m:ctrlPr>
              <w:rPr>
                <w:rFonts w:ascii="Cambria Math" w:hAnsi="Cambria Math"/>
                <w:i/>
                <w:iCs/>
              </w:rPr>
            </m:ctrlPr>
          </m:accPr>
          <m:e>
            <m:r>
              <w:rPr>
                <w:rFonts w:ascii="Cambria Math" w:hAnsi="Cambria Math"/>
              </w:rPr>
              <m:t>h</m:t>
            </m:r>
          </m:e>
        </m:acc>
      </m:oMath>
      <w:r w:rsidR="002C6734" w:rsidRPr="00220262">
        <w:rPr>
          <w:vertAlign w:val="superscript"/>
        </w:rPr>
        <w:t>2</w:t>
      </w:r>
      <w:r w:rsidR="002C6734">
        <w:rPr>
          <w:vertAlign w:val="subscript"/>
        </w:rPr>
        <w:t xml:space="preserve"> </w:t>
      </w:r>
      <w:r w:rsidR="002C6734">
        <w:t xml:space="preserve">= .37) while the highest average communality scores were in Peru </w:t>
      </w:r>
      <w:r w:rsidR="002C6734" w:rsidRPr="00220262">
        <w:t>(</w:t>
      </w:r>
      <m:oMath>
        <m:acc>
          <m:accPr>
            <m:chr m:val="̅"/>
            <m:ctrlPr>
              <w:rPr>
                <w:rFonts w:ascii="Cambria Math" w:hAnsi="Cambria Math"/>
                <w:i/>
                <w:iCs/>
              </w:rPr>
            </m:ctrlPr>
          </m:accPr>
          <m:e>
            <m:r>
              <w:rPr>
                <w:rFonts w:ascii="Cambria Math" w:hAnsi="Cambria Math"/>
              </w:rPr>
              <m:t>h</m:t>
            </m:r>
          </m:e>
        </m:acc>
      </m:oMath>
      <w:r w:rsidR="002C6734" w:rsidRPr="00220262">
        <w:rPr>
          <w:vertAlign w:val="superscript"/>
        </w:rPr>
        <w:t>2</w:t>
      </w:r>
      <w:r w:rsidR="002C6734">
        <w:rPr>
          <w:vertAlign w:val="subscript"/>
        </w:rPr>
        <w:t xml:space="preserve"> </w:t>
      </w:r>
      <w:r w:rsidR="002C6734">
        <w:t xml:space="preserve">= .58) and Jordan, Sweden, and Thailand </w:t>
      </w:r>
      <w:r w:rsidR="002C6734" w:rsidRPr="00220262">
        <w:lastRenderedPageBreak/>
        <w:t>(</w:t>
      </w:r>
      <m:oMath>
        <m:acc>
          <m:accPr>
            <m:chr m:val="̅"/>
            <m:ctrlPr>
              <w:rPr>
                <w:rFonts w:ascii="Cambria Math" w:hAnsi="Cambria Math"/>
                <w:i/>
                <w:iCs/>
              </w:rPr>
            </m:ctrlPr>
          </m:accPr>
          <m:e>
            <m:r>
              <w:rPr>
                <w:rFonts w:ascii="Cambria Math" w:hAnsi="Cambria Math"/>
              </w:rPr>
              <m:t>h</m:t>
            </m:r>
          </m:e>
        </m:acc>
      </m:oMath>
      <w:r w:rsidR="002C6734" w:rsidRPr="00220262">
        <w:rPr>
          <w:vertAlign w:val="superscript"/>
        </w:rPr>
        <w:t>2</w:t>
      </w:r>
      <w:r w:rsidR="002C6734">
        <w:rPr>
          <w:vertAlign w:val="subscript"/>
        </w:rPr>
        <w:t xml:space="preserve"> </w:t>
      </w:r>
      <w:r w:rsidR="002C6734">
        <w:t xml:space="preserve">= .57). </w:t>
      </w:r>
      <w:r w:rsidR="00193F4F">
        <w:t xml:space="preserve">Overall, the </w:t>
      </w:r>
      <w:r w:rsidR="00C517C2">
        <w:t>lowest</w:t>
      </w:r>
      <w:r w:rsidR="00193F4F">
        <w:t xml:space="preserve"> average communality scores for the IHS were in </w:t>
      </w:r>
      <w:r w:rsidR="00FB3D2D">
        <w:t xml:space="preserve">South Asia </w:t>
      </w:r>
      <w:r w:rsidR="00FB3D2D" w:rsidRPr="00220262">
        <w:t>(</w:t>
      </w:r>
      <m:oMath>
        <m:acc>
          <m:accPr>
            <m:chr m:val="̅"/>
            <m:ctrlPr>
              <w:rPr>
                <w:rFonts w:ascii="Cambria Math" w:hAnsi="Cambria Math"/>
                <w:i/>
                <w:iCs/>
              </w:rPr>
            </m:ctrlPr>
          </m:accPr>
          <m:e>
            <m:r>
              <w:rPr>
                <w:rFonts w:ascii="Cambria Math" w:hAnsi="Cambria Math"/>
              </w:rPr>
              <m:t>h</m:t>
            </m:r>
          </m:e>
        </m:acc>
      </m:oMath>
      <w:r w:rsidR="00FB3D2D" w:rsidRPr="00220262">
        <w:rPr>
          <w:vertAlign w:val="superscript"/>
        </w:rPr>
        <w:t>2</w:t>
      </w:r>
      <w:r w:rsidR="00FB3D2D" w:rsidRPr="00220262">
        <w:rPr>
          <w:vertAlign w:val="subscript"/>
        </w:rPr>
        <w:t>Mean</w:t>
      </w:r>
      <w:r w:rsidR="00FB3D2D">
        <w:rPr>
          <w:vertAlign w:val="subscript"/>
        </w:rPr>
        <w:t xml:space="preserve"> </w:t>
      </w:r>
      <w:r w:rsidR="00FB3D2D">
        <w:t xml:space="preserve">= .45) and the best average communality scores were in East Asia </w:t>
      </w:r>
      <w:r w:rsidR="00FB3D2D" w:rsidRPr="00220262">
        <w:t>(</w:t>
      </w:r>
      <m:oMath>
        <m:acc>
          <m:accPr>
            <m:chr m:val="̅"/>
            <m:ctrlPr>
              <w:rPr>
                <w:rFonts w:ascii="Cambria Math" w:hAnsi="Cambria Math"/>
                <w:i/>
                <w:iCs/>
              </w:rPr>
            </m:ctrlPr>
          </m:accPr>
          <m:e>
            <m:r>
              <w:rPr>
                <w:rFonts w:ascii="Cambria Math" w:hAnsi="Cambria Math"/>
              </w:rPr>
              <m:t>h</m:t>
            </m:r>
          </m:e>
        </m:acc>
      </m:oMath>
      <w:r w:rsidR="00FB3D2D" w:rsidRPr="00220262">
        <w:rPr>
          <w:vertAlign w:val="superscript"/>
        </w:rPr>
        <w:t>2</w:t>
      </w:r>
      <w:r w:rsidR="00FB3D2D" w:rsidRPr="00220262">
        <w:rPr>
          <w:vertAlign w:val="subscript"/>
        </w:rPr>
        <w:t>Mean</w:t>
      </w:r>
      <w:r w:rsidR="00FB3D2D">
        <w:rPr>
          <w:vertAlign w:val="subscript"/>
        </w:rPr>
        <w:t xml:space="preserve"> </w:t>
      </w:r>
      <w:r w:rsidR="00FB3D2D">
        <w:t xml:space="preserve">= .51). </w:t>
      </w:r>
    </w:p>
    <w:p w14:paraId="4F08A1D9" w14:textId="2C5D3283" w:rsidR="00135A64" w:rsidRPr="00135A64" w:rsidRDefault="00135A64" w:rsidP="00C66D5C">
      <w:pPr>
        <w:spacing w:after="0"/>
        <w:jc w:val="left"/>
        <w:rPr>
          <w:b/>
          <w:bCs/>
          <w:i/>
          <w:iCs/>
        </w:rPr>
      </w:pPr>
      <w:r>
        <w:rPr>
          <w:b/>
          <w:bCs/>
          <w:i/>
          <w:iCs/>
        </w:rPr>
        <w:t>Relationship Between Happiness Measures</w:t>
      </w:r>
    </w:p>
    <w:p w14:paraId="0B86B52E" w14:textId="7734FB2D" w:rsidR="003356C8" w:rsidRDefault="000F1B9C" w:rsidP="003356C8">
      <w:pPr>
        <w:spacing w:after="0"/>
        <w:jc w:val="left"/>
      </w:pPr>
      <w:r>
        <w:tab/>
        <w:t xml:space="preserve">To test for the relationship between the two happiness measures we used Structural Equation Modeling (SEM) to account for differences </w:t>
      </w:r>
      <w:r w:rsidR="00063949">
        <w:t xml:space="preserve">in the reliability of the measures. For the Interdependent Happiness Scale (IHS), the 9 items were grouped into 3 corresponding parcels to decrease the total number of parameters estimated. </w:t>
      </w:r>
      <w:r w:rsidR="003356C8">
        <w:t xml:space="preserve">There </w:t>
      </w:r>
      <w:r w:rsidR="0032018E">
        <w:t>were</w:t>
      </w:r>
      <w:r w:rsidR="003356C8">
        <w:t xml:space="preserve"> no missing data and thus no imputation was needed. </w:t>
      </w:r>
    </w:p>
    <w:p w14:paraId="6FCC1B25" w14:textId="3412C1CA" w:rsidR="00A5066F" w:rsidRDefault="00983D75" w:rsidP="003356C8">
      <w:pPr>
        <w:spacing w:after="0"/>
        <w:ind w:firstLine="720"/>
        <w:jc w:val="left"/>
      </w:pPr>
      <w:r>
        <w:t>Given the range of sample sizes across countries, p</w:t>
      </w:r>
      <w:r w:rsidR="005F2BE9">
        <w:t>ost hoc power analyses were conducted for estimating the relationship between the two latent variables</w:t>
      </w:r>
      <w:r w:rsidR="00A93425">
        <w:t xml:space="preserve"> using the </w:t>
      </w:r>
      <w:r w:rsidR="00A93425" w:rsidRPr="00E06C1C">
        <w:rPr>
          <w:i/>
          <w:iCs/>
        </w:rPr>
        <w:t>pwrSEM</w:t>
      </w:r>
      <w:r w:rsidR="00A93425">
        <w:t xml:space="preserve"> app </w:t>
      </w:r>
      <w:r w:rsidR="00611254">
        <w:fldChar w:fldCharType="begin" w:fldLock="1"/>
      </w:r>
      <w:r w:rsidR="000770E0">
        <w:instrText>ADDIN CSL_CITATION {"citationItems":[{"id":"ITEM-1","itemData":{"DOI":"10.3130/aijt.5.211_5","ISSN":"1341-9463","abstract":"Wang, Y. A., &amp; Rhemtulla, M. (2020). . Retreived from osf.io/h8yfk","author":[{"dropping-particle":"","family":"Wang","given":"Andre Y","non-dropping-particle":"","parse-names":false,"suffix":""},{"dropping-particle":"","family":"Rhemtulla","given":"Mijke","non-dropping-particle":"","parse-names":false,"suffix":""}],"container-title":"Advances in Methods and Practices in Psychological Science","id":"ITEM-1","issued":{"date-parts":[["2020"]]},"page":"211","title":"Power analysis for parameter estimation in structural equation modeling: A discussion and tutorial","type":"article-journal"},"uris":["http://www.mendeley.com/documents/?uuid=6b185eec-cd38-4f18-8e64-aeebdbe03668"]}],"mendeley":{"formattedCitation":"(Wang &amp; Rhemtulla, 2020)","plainTextFormattedCitation":"(Wang &amp; Rhemtulla, 2020)","previouslyFormattedCitation":"(Wang &amp; Rhemtulla, 2020)"},"properties":{"noteIndex":0},"schema":"https://github.com/citation-style-language/schema/raw/master/csl-citation.json"}</w:instrText>
      </w:r>
      <w:r w:rsidR="00611254">
        <w:fldChar w:fldCharType="separate"/>
      </w:r>
      <w:r w:rsidR="00611254" w:rsidRPr="00611254">
        <w:rPr>
          <w:noProof/>
        </w:rPr>
        <w:t>(Wang &amp; Rhemtulla, 2020)</w:t>
      </w:r>
      <w:r w:rsidR="00611254">
        <w:fldChar w:fldCharType="end"/>
      </w:r>
      <w:r w:rsidR="005F2BE9">
        <w:t xml:space="preserve">. Rather than calculate power estimates for all 63 countries, we tested the power to detect an effect given the average observed relationships among variables and then with </w:t>
      </w:r>
      <w:r w:rsidR="00611254">
        <w:t xml:space="preserve">a combination of </w:t>
      </w:r>
      <w:r w:rsidR="005F2BE9">
        <w:t xml:space="preserve">the lowest observed relationships among variables. </w:t>
      </w:r>
      <w:r w:rsidR="00611254">
        <w:t>For the first</w:t>
      </w:r>
      <w:r w:rsidR="00FC345E">
        <w:t xml:space="preserve"> power </w:t>
      </w:r>
      <w:r>
        <w:t>analysis</w:t>
      </w:r>
      <w:r w:rsidR="00611254">
        <w:t xml:space="preserve">, </w:t>
      </w:r>
      <w:r w:rsidR="00FC345E">
        <w:t xml:space="preserve">we estimated the factor loadings for the 4 item SHS should be .75, given an average reliability of .84. The factor loadings for the 3 item IHS with an average reliability of .84 were estimated at .80. The average correlation between the observed SHS and IHS in the data was r = .59, which gives an estimated latent variable correlation of .69. Given </w:t>
      </w:r>
      <w:r w:rsidR="003356C8">
        <w:t xml:space="preserve">these estimated parameters and an average sample size of 246 participants across countries, we estimated the power to detect an effect between the two latent happiness variables to </w:t>
      </w:r>
      <w:r w:rsidR="003C6A3B">
        <w:t>approach</w:t>
      </w:r>
      <w:r w:rsidR="003356C8">
        <w:t xml:space="preserve"> 1. </w:t>
      </w:r>
    </w:p>
    <w:p w14:paraId="5EDC82F6" w14:textId="4592CE41" w:rsidR="00A070BB" w:rsidRDefault="00A070BB" w:rsidP="003356C8">
      <w:pPr>
        <w:spacing w:after="0"/>
        <w:ind w:firstLine="720"/>
        <w:jc w:val="left"/>
      </w:pPr>
      <w:r>
        <w:t xml:space="preserve">Next, we </w:t>
      </w:r>
      <w:r w:rsidR="00983D75">
        <w:t xml:space="preserve">conducted a </w:t>
      </w:r>
      <w:r>
        <w:t xml:space="preserve">power analyses using the </w:t>
      </w:r>
      <w:r w:rsidR="00C517C2">
        <w:t>lowest</w:t>
      </w:r>
      <w:r>
        <w:t xml:space="preserve"> observed values, to determine the minimum power we could expect for </w:t>
      </w:r>
      <w:r w:rsidR="00F81641">
        <w:t>any of</w:t>
      </w:r>
      <w:r>
        <w:t xml:space="preserve"> our countries. </w:t>
      </w:r>
      <w:r w:rsidR="00B52067">
        <w:t xml:space="preserve">The lowest reliability of the SHS was .59 (Senegal), so the estimated factor loadings were set to .51. For the IHS, the lowest reliability observed was .74 (Uganda), so the estimated factor loadings were set to .70. The smallest </w:t>
      </w:r>
      <w:r w:rsidR="00B52067">
        <w:lastRenderedPageBreak/>
        <w:t xml:space="preserve">observed correlation between the two happiness measures was </w:t>
      </w:r>
      <w:r w:rsidR="00B302AF">
        <w:t>r = .26 (Indonesia), so using the lowest reliabilities we estimated the</w:t>
      </w:r>
      <w:r w:rsidR="00DE43BA">
        <w:t xml:space="preserve"> lowest</w:t>
      </w:r>
      <w:r w:rsidR="00B302AF">
        <w:t xml:space="preserve"> correlation between the two latent variables to be .39. Lastly, </w:t>
      </w:r>
      <w:r w:rsidR="006100FB">
        <w:t xml:space="preserve">power was calculated using these parameter estimates with the smallest sample in our data of 54 (Macedonia), resulting in power of .72 to detect an effect </w:t>
      </w:r>
      <w:r w:rsidR="00147FB3">
        <w:t xml:space="preserve">between the happiness measures. </w:t>
      </w:r>
      <w:r w:rsidR="00E51BFB">
        <w:t xml:space="preserve">Given that </w:t>
      </w:r>
      <w:r w:rsidR="00DE43BA">
        <w:t>there would still be reasonable power to detect an effect</w:t>
      </w:r>
      <w:r w:rsidR="00E51BFB">
        <w:t xml:space="preserve"> despite this exact combination of </w:t>
      </w:r>
      <w:r w:rsidR="00C517C2">
        <w:t>lowest</w:t>
      </w:r>
      <w:r w:rsidR="00E51BFB">
        <w:t xml:space="preserve"> possible parameters not a</w:t>
      </w:r>
      <w:r w:rsidR="00DE43BA">
        <w:t>ctually a</w:t>
      </w:r>
      <w:r w:rsidR="00E51BFB">
        <w:t xml:space="preserve">ppearing in our data, we concluded all of our country’s sample sizes were sufficient for estimating the latent relationship between the SHS and IHS. </w:t>
      </w:r>
    </w:p>
    <w:p w14:paraId="2A801B7D" w14:textId="343114E8" w:rsidR="00B83864" w:rsidRDefault="00B83864" w:rsidP="009061F6">
      <w:pPr>
        <w:spacing w:after="0"/>
        <w:ind w:firstLine="720"/>
        <w:jc w:val="left"/>
      </w:pPr>
      <w:r>
        <w:t>A</w:t>
      </w:r>
      <w:r w:rsidR="00E33AF8">
        <w:t xml:space="preserve"> model</w:t>
      </w:r>
      <w:r>
        <w:t xml:space="preserve"> with the two latent happiness variables was first fitted using all of the data (see Figure 1). </w:t>
      </w:r>
      <w:r w:rsidR="00E33AF8">
        <w:t>The first factor loadings for each measure were fixed to 1</w:t>
      </w:r>
      <w:r w:rsidR="000B727E">
        <w:t xml:space="preserve"> and the SHS was set as the predictor variable</w:t>
      </w:r>
      <w:r w:rsidR="00E33AF8">
        <w:t xml:space="preserve">. </w:t>
      </w:r>
      <w:r w:rsidR="001A7B39">
        <w:t xml:space="preserve">Results indicated overall good fit for the model (RMSEA = .06, CFI = .98). </w:t>
      </w:r>
      <w:r w:rsidR="0076575C">
        <w:t>Unsurprisingly</w:t>
      </w:r>
      <w:r w:rsidR="000B727E">
        <w:t xml:space="preserve">, the SHS was significantly related to the IHS, </w:t>
      </w:r>
      <w:r w:rsidR="000B727E" w:rsidRPr="000B727E">
        <w:rPr>
          <w:i/>
          <w:iCs/>
        </w:rPr>
        <w:t>b</w:t>
      </w:r>
      <w:r w:rsidR="000B727E">
        <w:t xml:space="preserve"> = .</w:t>
      </w:r>
      <w:r w:rsidR="000B727E" w:rsidRPr="000B727E">
        <w:t xml:space="preserve">31, </w:t>
      </w:r>
      <w:r w:rsidR="000B727E" w:rsidRPr="000B727E">
        <w:rPr>
          <w:i/>
          <w:iCs/>
        </w:rPr>
        <w:t>β</w:t>
      </w:r>
      <w:r w:rsidR="000B727E">
        <w:t xml:space="preserve"> = .79, </w:t>
      </w:r>
      <w:r w:rsidR="000B727E" w:rsidRPr="000B727E">
        <w:rPr>
          <w:i/>
          <w:iCs/>
        </w:rPr>
        <w:t>z</w:t>
      </w:r>
      <w:r w:rsidR="000B727E">
        <w:t xml:space="preserve"> = 72.99, </w:t>
      </w:r>
      <w:r w:rsidR="000B727E" w:rsidRPr="000B727E">
        <w:rPr>
          <w:i/>
          <w:iCs/>
        </w:rPr>
        <w:t>p</w:t>
      </w:r>
      <w:r w:rsidR="000B727E">
        <w:t xml:space="preserve"> &lt; .001. </w:t>
      </w:r>
      <w:r w:rsidR="0006503D">
        <w:t>Next, the same model was used to calculate the relationship between the SHS and the IHS within each country.</w:t>
      </w:r>
      <w:r w:rsidR="000077BC">
        <w:t xml:space="preserve"> Results are presented in Table </w:t>
      </w:r>
      <w:r w:rsidR="00E16705">
        <w:t>7</w:t>
      </w:r>
      <w:r w:rsidR="000077BC">
        <w:t>. The countries with the strongest standardized relationship between the SHS and the IHS were Hungary (</w:t>
      </w:r>
      <w:r w:rsidR="000077BC" w:rsidRPr="000B727E">
        <w:rPr>
          <w:i/>
          <w:iCs/>
        </w:rPr>
        <w:t>β</w:t>
      </w:r>
      <w:r w:rsidR="000077BC">
        <w:t xml:space="preserve"> = .97), New Zealand and Romania (</w:t>
      </w:r>
      <w:r w:rsidR="000077BC" w:rsidRPr="000B727E">
        <w:rPr>
          <w:i/>
          <w:iCs/>
        </w:rPr>
        <w:t>β</w:t>
      </w:r>
      <w:r w:rsidR="000077BC">
        <w:t xml:space="preserve"> = .93). The countries with the weakest standardized relationship </w:t>
      </w:r>
      <w:r w:rsidR="007D68C8">
        <w:t>between the two happiness measures were Indonesia (</w:t>
      </w:r>
      <w:r w:rsidR="007D68C8" w:rsidRPr="000B727E">
        <w:rPr>
          <w:i/>
          <w:iCs/>
        </w:rPr>
        <w:t>β</w:t>
      </w:r>
      <w:r w:rsidR="007D68C8">
        <w:t xml:space="preserve"> = .31) and Uganda (</w:t>
      </w:r>
      <w:r w:rsidR="007D68C8" w:rsidRPr="000B727E">
        <w:rPr>
          <w:i/>
          <w:iCs/>
        </w:rPr>
        <w:t>β</w:t>
      </w:r>
      <w:r w:rsidR="007D68C8">
        <w:t xml:space="preserve"> = .36). </w:t>
      </w:r>
      <w:r w:rsidR="00927284">
        <w:t>Both Western and Eastern European countries had the highest average association between the happiness measures (</w:t>
      </w:r>
      <w:r w:rsidR="00927284" w:rsidRPr="000B727E">
        <w:rPr>
          <w:i/>
          <w:iCs/>
        </w:rPr>
        <w:t>β</w:t>
      </w:r>
      <w:r w:rsidR="00927284" w:rsidRPr="00927284">
        <w:rPr>
          <w:i/>
          <w:iCs/>
          <w:vertAlign w:val="subscript"/>
        </w:rPr>
        <w:t>Mean</w:t>
      </w:r>
      <w:r w:rsidR="00927284">
        <w:t xml:space="preserve"> = .85) while the lowest associations were found in African countries (</w:t>
      </w:r>
      <w:r w:rsidR="00927284" w:rsidRPr="000B727E">
        <w:rPr>
          <w:i/>
          <w:iCs/>
        </w:rPr>
        <w:t>β</w:t>
      </w:r>
      <w:r w:rsidR="00927284" w:rsidRPr="00927284">
        <w:rPr>
          <w:i/>
          <w:iCs/>
          <w:vertAlign w:val="subscript"/>
        </w:rPr>
        <w:t>Mean</w:t>
      </w:r>
      <w:r w:rsidR="00927284">
        <w:t xml:space="preserve"> = .66). </w:t>
      </w:r>
      <w:r w:rsidR="00BC3B2B">
        <w:t>Overall, while the relationship between the two happiness measures varied across countries, the were no countries in which the two measures were unrelated or negatively associated with each other</w:t>
      </w:r>
      <w:r w:rsidR="00706059">
        <w:t>.</w:t>
      </w:r>
    </w:p>
    <w:p w14:paraId="249A4362" w14:textId="1B290EB3" w:rsidR="00B415D9" w:rsidRDefault="00B415D9" w:rsidP="009061F6">
      <w:pPr>
        <w:spacing w:after="0"/>
        <w:ind w:firstLine="720"/>
        <w:jc w:val="left"/>
      </w:pPr>
      <w:r w:rsidRPr="00B1535C">
        <w:rPr>
          <w:i/>
          <w:iCs/>
        </w:rPr>
        <w:t>Fig 1</w:t>
      </w:r>
      <w:r w:rsidR="00B1535C">
        <w:t>. SEM model displaying the correlation between the happiness latent variables</w:t>
      </w:r>
    </w:p>
    <w:p w14:paraId="1125A56C" w14:textId="630CCE8A" w:rsidR="00B1535C" w:rsidRDefault="00B1535C" w:rsidP="00B1535C">
      <w:pPr>
        <w:spacing w:after="0"/>
        <w:jc w:val="left"/>
      </w:pPr>
      <w:r>
        <w:rPr>
          <w:i/>
          <w:iCs/>
        </w:rPr>
        <w:lastRenderedPageBreak/>
        <w:t xml:space="preserve">Note. </w:t>
      </w:r>
      <w:r w:rsidR="00BC2FCF">
        <w:t xml:space="preserve">IHS = Interdependent Happiness Scale. SHS = Subjective Happiness Scale. </w:t>
      </w:r>
      <w:r>
        <w:t xml:space="preserve">Model fit statistics: RMSEA = .06, CFI = .98, </w:t>
      </w:r>
      <w:r w:rsidRPr="00A850A0">
        <w:rPr>
          <w:i/>
          <w:iCs/>
          <w:color w:val="000000"/>
        </w:rPr>
        <w:t>R</w:t>
      </w:r>
      <w:r w:rsidRPr="00A850A0">
        <w:rPr>
          <w:i/>
          <w:iCs/>
          <w:color w:val="000000"/>
          <w:vertAlign w:val="superscript"/>
        </w:rPr>
        <w:t>2</w:t>
      </w:r>
      <w:r>
        <w:rPr>
          <w:i/>
          <w:iCs/>
          <w:color w:val="000000"/>
          <w:vertAlign w:val="superscript"/>
        </w:rPr>
        <w:t xml:space="preserve"> </w:t>
      </w:r>
      <w:r>
        <w:rPr>
          <w:color w:val="000000"/>
        </w:rPr>
        <w:t>= .63</w:t>
      </w:r>
      <w:r>
        <w:t xml:space="preserve">. Estimate between SHS and IHS: </w:t>
      </w:r>
      <w:r w:rsidRPr="001F6719">
        <w:rPr>
          <w:i/>
          <w:iCs/>
        </w:rPr>
        <w:t>β</w:t>
      </w:r>
      <w:r>
        <w:rPr>
          <w:i/>
          <w:iCs/>
        </w:rPr>
        <w:t xml:space="preserve"> </w:t>
      </w:r>
      <w:r>
        <w:t xml:space="preserve">= .79, </w:t>
      </w:r>
      <w:r w:rsidRPr="00671815">
        <w:rPr>
          <w:i/>
          <w:iCs/>
        </w:rPr>
        <w:t>b</w:t>
      </w:r>
      <w:r>
        <w:t xml:space="preserve"> = .31, </w:t>
      </w:r>
      <w:r w:rsidRPr="00671815">
        <w:rPr>
          <w:i/>
          <w:iCs/>
        </w:rPr>
        <w:t>z</w:t>
      </w:r>
      <w:r>
        <w:t xml:space="preserve"> = 72.99, </w:t>
      </w:r>
      <w:r w:rsidRPr="00671815">
        <w:rPr>
          <w:i/>
          <w:iCs/>
        </w:rPr>
        <w:t>p</w:t>
      </w:r>
      <w:r>
        <w:t xml:space="preserve"> &lt; .001.</w:t>
      </w:r>
      <w:r>
        <w:rPr>
          <w:i/>
          <w:iCs/>
        </w:rPr>
        <w:t xml:space="preserve"> </w:t>
      </w:r>
      <w:r>
        <w:t xml:space="preserve">IHS.1 was an average of the first 3 items on the IHS, IHS.2 was an average of the next 3 items on the IHS, and IHS.3 was an average of the last 3 items on the IHS. </w:t>
      </w:r>
    </w:p>
    <w:tbl>
      <w:tblPr>
        <w:tblW w:w="6602" w:type="dxa"/>
        <w:tblLook w:val="04A0" w:firstRow="1" w:lastRow="0" w:firstColumn="1" w:lastColumn="0" w:noHBand="0" w:noVBand="1"/>
      </w:tblPr>
      <w:tblGrid>
        <w:gridCol w:w="1959"/>
        <w:gridCol w:w="1160"/>
        <w:gridCol w:w="1160"/>
        <w:gridCol w:w="1160"/>
        <w:gridCol w:w="1163"/>
      </w:tblGrid>
      <w:tr w:rsidR="00B415D9" w:rsidRPr="00A850A0" w14:paraId="4602D6B8" w14:textId="77777777" w:rsidTr="00F866EA">
        <w:trPr>
          <w:trHeight w:val="299"/>
        </w:trPr>
        <w:tc>
          <w:tcPr>
            <w:tcW w:w="6602" w:type="dxa"/>
            <w:gridSpan w:val="5"/>
            <w:tcBorders>
              <w:top w:val="single" w:sz="4" w:space="0" w:color="auto"/>
              <w:left w:val="nil"/>
              <w:bottom w:val="single" w:sz="4" w:space="0" w:color="auto"/>
              <w:right w:val="nil"/>
            </w:tcBorders>
            <w:shd w:val="clear" w:color="auto" w:fill="auto"/>
            <w:noWrap/>
            <w:vAlign w:val="center"/>
          </w:tcPr>
          <w:p w14:paraId="5FD33E1D" w14:textId="015DD56D" w:rsidR="00B415D9" w:rsidRPr="00A850A0" w:rsidRDefault="00B415D9" w:rsidP="00F866EA">
            <w:pPr>
              <w:spacing w:after="0" w:line="240" w:lineRule="auto"/>
              <w:jc w:val="left"/>
              <w:rPr>
                <w:color w:val="000000"/>
              </w:rPr>
            </w:pPr>
            <w:r>
              <w:rPr>
                <w:color w:val="000000"/>
              </w:rPr>
              <w:t xml:space="preserve">Table </w:t>
            </w:r>
            <w:r w:rsidR="008C16B6">
              <w:rPr>
                <w:color w:val="000000"/>
              </w:rPr>
              <w:t>7</w:t>
            </w:r>
          </w:p>
        </w:tc>
      </w:tr>
      <w:tr w:rsidR="00B415D9" w:rsidRPr="00A850A0" w14:paraId="351BB5F8" w14:textId="77777777" w:rsidTr="00F866EA">
        <w:trPr>
          <w:trHeight w:val="299"/>
        </w:trPr>
        <w:tc>
          <w:tcPr>
            <w:tcW w:w="6602" w:type="dxa"/>
            <w:gridSpan w:val="5"/>
            <w:tcBorders>
              <w:top w:val="single" w:sz="4" w:space="0" w:color="auto"/>
              <w:left w:val="nil"/>
              <w:bottom w:val="single" w:sz="4" w:space="0" w:color="auto"/>
              <w:right w:val="nil"/>
            </w:tcBorders>
            <w:shd w:val="clear" w:color="auto" w:fill="auto"/>
            <w:noWrap/>
            <w:vAlign w:val="center"/>
          </w:tcPr>
          <w:p w14:paraId="75F4382B" w14:textId="77777777" w:rsidR="00B415D9" w:rsidRPr="00A850A0" w:rsidRDefault="00B415D9" w:rsidP="00F866EA">
            <w:pPr>
              <w:spacing w:after="0" w:line="240" w:lineRule="auto"/>
              <w:jc w:val="left"/>
              <w:rPr>
                <w:i/>
                <w:iCs/>
                <w:color w:val="000000"/>
              </w:rPr>
            </w:pPr>
            <w:r w:rsidRPr="00A850A0">
              <w:rPr>
                <w:i/>
                <w:iCs/>
                <w:color w:val="000000"/>
              </w:rPr>
              <w:t xml:space="preserve">Results from Structural Equation Model with IHS </w:t>
            </w:r>
            <w:r>
              <w:rPr>
                <w:i/>
                <w:iCs/>
                <w:color w:val="000000"/>
              </w:rPr>
              <w:t>~ SHS</w:t>
            </w:r>
          </w:p>
        </w:tc>
      </w:tr>
      <w:tr w:rsidR="00B415D9" w:rsidRPr="00A850A0" w14:paraId="54E6C72A" w14:textId="77777777" w:rsidTr="00F866EA">
        <w:trPr>
          <w:trHeight w:val="299"/>
        </w:trPr>
        <w:tc>
          <w:tcPr>
            <w:tcW w:w="1959" w:type="dxa"/>
            <w:tcBorders>
              <w:top w:val="single" w:sz="4" w:space="0" w:color="auto"/>
              <w:left w:val="nil"/>
              <w:bottom w:val="single" w:sz="4" w:space="0" w:color="auto"/>
              <w:right w:val="nil"/>
            </w:tcBorders>
            <w:shd w:val="clear" w:color="auto" w:fill="auto"/>
            <w:noWrap/>
            <w:vAlign w:val="bottom"/>
            <w:hideMark/>
          </w:tcPr>
          <w:p w14:paraId="0320B7C0" w14:textId="77777777" w:rsidR="00B415D9" w:rsidRPr="00A850A0" w:rsidRDefault="00B415D9" w:rsidP="00F866EA">
            <w:pPr>
              <w:spacing w:after="0" w:line="240" w:lineRule="auto"/>
              <w:jc w:val="left"/>
              <w:rPr>
                <w:color w:val="000000"/>
              </w:rPr>
            </w:pPr>
            <w:r w:rsidRPr="00A850A0">
              <w:rPr>
                <w:color w:val="000000"/>
              </w:rPr>
              <w:t>Country</w:t>
            </w:r>
          </w:p>
        </w:tc>
        <w:tc>
          <w:tcPr>
            <w:tcW w:w="1160" w:type="dxa"/>
            <w:tcBorders>
              <w:top w:val="single" w:sz="4" w:space="0" w:color="auto"/>
              <w:left w:val="nil"/>
              <w:bottom w:val="single" w:sz="4" w:space="0" w:color="auto"/>
              <w:right w:val="nil"/>
            </w:tcBorders>
            <w:shd w:val="clear" w:color="auto" w:fill="auto"/>
            <w:noWrap/>
            <w:vAlign w:val="bottom"/>
            <w:hideMark/>
          </w:tcPr>
          <w:p w14:paraId="1935ED43" w14:textId="77777777" w:rsidR="00B415D9" w:rsidRPr="00A850A0" w:rsidRDefault="00B415D9" w:rsidP="00F866EA">
            <w:pPr>
              <w:spacing w:after="0" w:line="240" w:lineRule="auto"/>
              <w:rPr>
                <w:i/>
                <w:iCs/>
                <w:color w:val="000000"/>
              </w:rPr>
            </w:pPr>
            <w:r w:rsidRPr="00A850A0">
              <w:rPr>
                <w:i/>
                <w:iCs/>
              </w:rPr>
              <w:t>β</w:t>
            </w:r>
          </w:p>
        </w:tc>
        <w:tc>
          <w:tcPr>
            <w:tcW w:w="1160" w:type="dxa"/>
            <w:tcBorders>
              <w:top w:val="single" w:sz="4" w:space="0" w:color="auto"/>
              <w:left w:val="nil"/>
              <w:bottom w:val="single" w:sz="4" w:space="0" w:color="auto"/>
              <w:right w:val="nil"/>
            </w:tcBorders>
            <w:shd w:val="clear" w:color="auto" w:fill="auto"/>
            <w:noWrap/>
            <w:vAlign w:val="bottom"/>
            <w:hideMark/>
          </w:tcPr>
          <w:p w14:paraId="44DBD2C6" w14:textId="77777777" w:rsidR="00B415D9" w:rsidRPr="00A850A0" w:rsidRDefault="00B415D9" w:rsidP="00F866EA">
            <w:pPr>
              <w:spacing w:after="0" w:line="240" w:lineRule="auto"/>
              <w:rPr>
                <w:i/>
                <w:iCs/>
                <w:color w:val="000000"/>
              </w:rPr>
            </w:pPr>
            <w:r w:rsidRPr="00A850A0">
              <w:rPr>
                <w:i/>
                <w:iCs/>
                <w:color w:val="000000"/>
              </w:rPr>
              <w:t>b</w:t>
            </w:r>
          </w:p>
        </w:tc>
        <w:tc>
          <w:tcPr>
            <w:tcW w:w="1160" w:type="dxa"/>
            <w:tcBorders>
              <w:top w:val="single" w:sz="4" w:space="0" w:color="auto"/>
              <w:left w:val="nil"/>
              <w:bottom w:val="single" w:sz="4" w:space="0" w:color="auto"/>
              <w:right w:val="nil"/>
            </w:tcBorders>
            <w:shd w:val="clear" w:color="auto" w:fill="auto"/>
            <w:noWrap/>
            <w:vAlign w:val="bottom"/>
            <w:hideMark/>
          </w:tcPr>
          <w:p w14:paraId="4031BF96" w14:textId="77777777" w:rsidR="00B415D9" w:rsidRPr="00A850A0" w:rsidRDefault="00B415D9" w:rsidP="00F866EA">
            <w:pPr>
              <w:spacing w:after="0" w:line="240" w:lineRule="auto"/>
              <w:rPr>
                <w:i/>
                <w:iCs/>
                <w:color w:val="000000"/>
              </w:rPr>
            </w:pPr>
            <w:r w:rsidRPr="00A850A0">
              <w:rPr>
                <w:i/>
                <w:iCs/>
                <w:color w:val="000000"/>
              </w:rPr>
              <w:t>SE</w:t>
            </w:r>
          </w:p>
        </w:tc>
        <w:tc>
          <w:tcPr>
            <w:tcW w:w="1163" w:type="dxa"/>
            <w:tcBorders>
              <w:top w:val="single" w:sz="4" w:space="0" w:color="auto"/>
              <w:left w:val="nil"/>
              <w:bottom w:val="single" w:sz="4" w:space="0" w:color="auto"/>
              <w:right w:val="nil"/>
            </w:tcBorders>
            <w:shd w:val="clear" w:color="auto" w:fill="auto"/>
            <w:noWrap/>
            <w:vAlign w:val="bottom"/>
            <w:hideMark/>
          </w:tcPr>
          <w:p w14:paraId="4F8FA62C" w14:textId="77777777" w:rsidR="00B415D9" w:rsidRPr="00A850A0" w:rsidRDefault="00B415D9" w:rsidP="00F866EA">
            <w:pPr>
              <w:spacing w:after="0" w:line="240" w:lineRule="auto"/>
              <w:rPr>
                <w:i/>
                <w:iCs/>
                <w:color w:val="000000"/>
              </w:rPr>
            </w:pPr>
            <w:r w:rsidRPr="00A850A0">
              <w:rPr>
                <w:i/>
                <w:iCs/>
                <w:color w:val="000000"/>
              </w:rPr>
              <w:t>R</w:t>
            </w:r>
            <w:r w:rsidRPr="00A850A0">
              <w:rPr>
                <w:i/>
                <w:iCs/>
                <w:color w:val="000000"/>
                <w:vertAlign w:val="superscript"/>
              </w:rPr>
              <w:t>2</w:t>
            </w:r>
          </w:p>
        </w:tc>
      </w:tr>
      <w:tr w:rsidR="00B415D9" w:rsidRPr="00A850A0" w14:paraId="5CC7C2FD" w14:textId="77777777" w:rsidTr="00F866EA">
        <w:trPr>
          <w:trHeight w:val="299"/>
        </w:trPr>
        <w:tc>
          <w:tcPr>
            <w:tcW w:w="1959" w:type="dxa"/>
            <w:tcBorders>
              <w:top w:val="single" w:sz="4" w:space="0" w:color="auto"/>
              <w:left w:val="nil"/>
              <w:bottom w:val="nil"/>
              <w:right w:val="nil"/>
            </w:tcBorders>
            <w:shd w:val="clear" w:color="auto" w:fill="auto"/>
            <w:noWrap/>
            <w:vAlign w:val="bottom"/>
            <w:hideMark/>
          </w:tcPr>
          <w:p w14:paraId="347386A7" w14:textId="77777777" w:rsidR="00B415D9" w:rsidRPr="00A850A0" w:rsidRDefault="00B415D9" w:rsidP="00F866EA">
            <w:pPr>
              <w:spacing w:after="0" w:line="240" w:lineRule="auto"/>
              <w:jc w:val="left"/>
              <w:rPr>
                <w:color w:val="000000"/>
              </w:rPr>
            </w:pPr>
            <w:r w:rsidRPr="00A850A0">
              <w:rPr>
                <w:color w:val="000000"/>
              </w:rPr>
              <w:t>Hungary</w:t>
            </w:r>
          </w:p>
        </w:tc>
        <w:tc>
          <w:tcPr>
            <w:tcW w:w="1160" w:type="dxa"/>
            <w:tcBorders>
              <w:top w:val="single" w:sz="4" w:space="0" w:color="auto"/>
              <w:left w:val="nil"/>
              <w:bottom w:val="nil"/>
              <w:right w:val="nil"/>
            </w:tcBorders>
            <w:shd w:val="clear" w:color="auto" w:fill="auto"/>
            <w:noWrap/>
            <w:vAlign w:val="bottom"/>
            <w:hideMark/>
          </w:tcPr>
          <w:p w14:paraId="4F0179D4" w14:textId="77777777" w:rsidR="00B415D9" w:rsidRPr="00A850A0" w:rsidRDefault="00B415D9" w:rsidP="00F866EA">
            <w:pPr>
              <w:spacing w:after="0" w:line="240" w:lineRule="auto"/>
              <w:rPr>
                <w:color w:val="000000"/>
              </w:rPr>
            </w:pPr>
            <w:r w:rsidRPr="00A850A0">
              <w:rPr>
                <w:color w:val="000000"/>
              </w:rPr>
              <w:t>.97</w:t>
            </w:r>
          </w:p>
        </w:tc>
        <w:tc>
          <w:tcPr>
            <w:tcW w:w="1160" w:type="dxa"/>
            <w:tcBorders>
              <w:top w:val="single" w:sz="4" w:space="0" w:color="auto"/>
              <w:left w:val="nil"/>
              <w:bottom w:val="nil"/>
              <w:right w:val="nil"/>
            </w:tcBorders>
            <w:shd w:val="clear" w:color="auto" w:fill="auto"/>
            <w:noWrap/>
            <w:vAlign w:val="bottom"/>
            <w:hideMark/>
          </w:tcPr>
          <w:p w14:paraId="06AB8699" w14:textId="77777777" w:rsidR="00B415D9" w:rsidRPr="00A850A0" w:rsidRDefault="00B415D9" w:rsidP="00F866EA">
            <w:pPr>
              <w:spacing w:after="0" w:line="240" w:lineRule="auto"/>
              <w:rPr>
                <w:color w:val="000000"/>
              </w:rPr>
            </w:pPr>
            <w:r w:rsidRPr="00A850A0">
              <w:rPr>
                <w:color w:val="000000"/>
              </w:rPr>
              <w:t>.46</w:t>
            </w:r>
          </w:p>
        </w:tc>
        <w:tc>
          <w:tcPr>
            <w:tcW w:w="1160" w:type="dxa"/>
            <w:tcBorders>
              <w:top w:val="single" w:sz="4" w:space="0" w:color="auto"/>
              <w:left w:val="nil"/>
              <w:bottom w:val="nil"/>
              <w:right w:val="nil"/>
            </w:tcBorders>
            <w:shd w:val="clear" w:color="auto" w:fill="auto"/>
            <w:noWrap/>
            <w:vAlign w:val="bottom"/>
            <w:hideMark/>
          </w:tcPr>
          <w:p w14:paraId="7D57411E"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single" w:sz="4" w:space="0" w:color="auto"/>
              <w:left w:val="nil"/>
              <w:bottom w:val="nil"/>
              <w:right w:val="nil"/>
            </w:tcBorders>
            <w:shd w:val="clear" w:color="auto" w:fill="auto"/>
            <w:noWrap/>
            <w:vAlign w:val="bottom"/>
            <w:hideMark/>
          </w:tcPr>
          <w:p w14:paraId="176A1C2E" w14:textId="77777777" w:rsidR="00B415D9" w:rsidRPr="00A850A0" w:rsidRDefault="00B415D9" w:rsidP="00F866EA">
            <w:pPr>
              <w:spacing w:after="0" w:line="240" w:lineRule="auto"/>
              <w:rPr>
                <w:color w:val="000000"/>
              </w:rPr>
            </w:pPr>
            <w:r w:rsidRPr="00A850A0">
              <w:rPr>
                <w:color w:val="000000"/>
              </w:rPr>
              <w:t>.94</w:t>
            </w:r>
          </w:p>
        </w:tc>
      </w:tr>
      <w:tr w:rsidR="00B415D9" w:rsidRPr="00A850A0" w14:paraId="09AC7EBE" w14:textId="77777777" w:rsidTr="00F866EA">
        <w:trPr>
          <w:trHeight w:val="299"/>
        </w:trPr>
        <w:tc>
          <w:tcPr>
            <w:tcW w:w="1959" w:type="dxa"/>
            <w:tcBorders>
              <w:top w:val="nil"/>
              <w:left w:val="nil"/>
              <w:bottom w:val="nil"/>
              <w:right w:val="nil"/>
            </w:tcBorders>
            <w:shd w:val="clear" w:color="auto" w:fill="auto"/>
            <w:noWrap/>
            <w:vAlign w:val="bottom"/>
            <w:hideMark/>
          </w:tcPr>
          <w:p w14:paraId="7690392D" w14:textId="77777777" w:rsidR="00B415D9" w:rsidRPr="00A850A0" w:rsidRDefault="00B415D9" w:rsidP="00F866EA">
            <w:pPr>
              <w:spacing w:after="0" w:line="240" w:lineRule="auto"/>
              <w:jc w:val="left"/>
              <w:rPr>
                <w:color w:val="000000"/>
              </w:rPr>
            </w:pPr>
            <w:r w:rsidRPr="00A850A0">
              <w:rPr>
                <w:color w:val="000000"/>
              </w:rPr>
              <w:t>New Zealand</w:t>
            </w:r>
          </w:p>
        </w:tc>
        <w:tc>
          <w:tcPr>
            <w:tcW w:w="1160" w:type="dxa"/>
            <w:tcBorders>
              <w:top w:val="nil"/>
              <w:left w:val="nil"/>
              <w:bottom w:val="nil"/>
              <w:right w:val="nil"/>
            </w:tcBorders>
            <w:shd w:val="clear" w:color="auto" w:fill="auto"/>
            <w:noWrap/>
            <w:vAlign w:val="bottom"/>
            <w:hideMark/>
          </w:tcPr>
          <w:p w14:paraId="15EE6850" w14:textId="77777777" w:rsidR="00B415D9" w:rsidRPr="00A850A0" w:rsidRDefault="00B415D9" w:rsidP="00F866EA">
            <w:pPr>
              <w:spacing w:after="0" w:line="240" w:lineRule="auto"/>
              <w:rPr>
                <w:color w:val="000000"/>
              </w:rPr>
            </w:pPr>
            <w:r w:rsidRPr="00A850A0">
              <w:rPr>
                <w:color w:val="000000"/>
              </w:rPr>
              <w:t>.93</w:t>
            </w:r>
          </w:p>
        </w:tc>
        <w:tc>
          <w:tcPr>
            <w:tcW w:w="1160" w:type="dxa"/>
            <w:tcBorders>
              <w:top w:val="nil"/>
              <w:left w:val="nil"/>
              <w:bottom w:val="nil"/>
              <w:right w:val="nil"/>
            </w:tcBorders>
            <w:shd w:val="clear" w:color="auto" w:fill="auto"/>
            <w:noWrap/>
            <w:vAlign w:val="bottom"/>
            <w:hideMark/>
          </w:tcPr>
          <w:p w14:paraId="76248D5E" w14:textId="77777777" w:rsidR="00B415D9" w:rsidRPr="00A850A0" w:rsidRDefault="00B415D9" w:rsidP="00F866EA">
            <w:pPr>
              <w:spacing w:after="0" w:line="240" w:lineRule="auto"/>
              <w:rPr>
                <w:color w:val="000000"/>
              </w:rPr>
            </w:pPr>
            <w:r w:rsidRPr="00A850A0">
              <w:rPr>
                <w:color w:val="000000"/>
              </w:rPr>
              <w:t>.38</w:t>
            </w:r>
          </w:p>
        </w:tc>
        <w:tc>
          <w:tcPr>
            <w:tcW w:w="1160" w:type="dxa"/>
            <w:tcBorders>
              <w:top w:val="nil"/>
              <w:left w:val="nil"/>
              <w:bottom w:val="nil"/>
              <w:right w:val="nil"/>
            </w:tcBorders>
            <w:shd w:val="clear" w:color="auto" w:fill="auto"/>
            <w:noWrap/>
            <w:vAlign w:val="bottom"/>
            <w:hideMark/>
          </w:tcPr>
          <w:p w14:paraId="735033D9"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66E210D4" w14:textId="77777777" w:rsidR="00B415D9" w:rsidRPr="00A850A0" w:rsidRDefault="00B415D9" w:rsidP="00F866EA">
            <w:pPr>
              <w:spacing w:after="0" w:line="240" w:lineRule="auto"/>
              <w:rPr>
                <w:color w:val="000000"/>
              </w:rPr>
            </w:pPr>
            <w:r w:rsidRPr="00A850A0">
              <w:rPr>
                <w:color w:val="000000"/>
              </w:rPr>
              <w:t>.87</w:t>
            </w:r>
          </w:p>
        </w:tc>
      </w:tr>
      <w:tr w:rsidR="00B415D9" w:rsidRPr="00A850A0" w14:paraId="40B1EC61" w14:textId="77777777" w:rsidTr="00F866EA">
        <w:trPr>
          <w:trHeight w:val="299"/>
        </w:trPr>
        <w:tc>
          <w:tcPr>
            <w:tcW w:w="1959" w:type="dxa"/>
            <w:tcBorders>
              <w:top w:val="nil"/>
              <w:left w:val="nil"/>
              <w:bottom w:val="nil"/>
              <w:right w:val="nil"/>
            </w:tcBorders>
            <w:shd w:val="clear" w:color="auto" w:fill="auto"/>
            <w:noWrap/>
            <w:vAlign w:val="bottom"/>
            <w:hideMark/>
          </w:tcPr>
          <w:p w14:paraId="3986FDD0" w14:textId="77777777" w:rsidR="00B415D9" w:rsidRPr="00A850A0" w:rsidRDefault="00B415D9" w:rsidP="00F866EA">
            <w:pPr>
              <w:spacing w:after="0" w:line="240" w:lineRule="auto"/>
              <w:jc w:val="left"/>
              <w:rPr>
                <w:color w:val="000000"/>
              </w:rPr>
            </w:pPr>
            <w:r w:rsidRPr="00A850A0">
              <w:rPr>
                <w:color w:val="000000"/>
              </w:rPr>
              <w:t>Romania</w:t>
            </w:r>
          </w:p>
        </w:tc>
        <w:tc>
          <w:tcPr>
            <w:tcW w:w="1160" w:type="dxa"/>
            <w:tcBorders>
              <w:top w:val="nil"/>
              <w:left w:val="nil"/>
              <w:bottom w:val="nil"/>
              <w:right w:val="nil"/>
            </w:tcBorders>
            <w:shd w:val="clear" w:color="auto" w:fill="auto"/>
            <w:noWrap/>
            <w:vAlign w:val="bottom"/>
            <w:hideMark/>
          </w:tcPr>
          <w:p w14:paraId="0AC3F6A6" w14:textId="77777777" w:rsidR="00B415D9" w:rsidRPr="00A850A0" w:rsidRDefault="00B415D9" w:rsidP="00F866EA">
            <w:pPr>
              <w:spacing w:after="0" w:line="240" w:lineRule="auto"/>
              <w:rPr>
                <w:color w:val="000000"/>
              </w:rPr>
            </w:pPr>
            <w:r w:rsidRPr="00A850A0">
              <w:rPr>
                <w:color w:val="000000"/>
              </w:rPr>
              <w:t>.93</w:t>
            </w:r>
          </w:p>
        </w:tc>
        <w:tc>
          <w:tcPr>
            <w:tcW w:w="1160" w:type="dxa"/>
            <w:tcBorders>
              <w:top w:val="nil"/>
              <w:left w:val="nil"/>
              <w:bottom w:val="nil"/>
              <w:right w:val="nil"/>
            </w:tcBorders>
            <w:shd w:val="clear" w:color="auto" w:fill="auto"/>
            <w:noWrap/>
            <w:vAlign w:val="bottom"/>
            <w:hideMark/>
          </w:tcPr>
          <w:p w14:paraId="1AD9E8DE" w14:textId="77777777" w:rsidR="00B415D9" w:rsidRPr="00A850A0" w:rsidRDefault="00B415D9" w:rsidP="00F866EA">
            <w:pPr>
              <w:spacing w:after="0" w:line="240" w:lineRule="auto"/>
              <w:rPr>
                <w:color w:val="000000"/>
              </w:rPr>
            </w:pPr>
            <w:r w:rsidRPr="00A850A0">
              <w:rPr>
                <w:color w:val="000000"/>
              </w:rPr>
              <w:t>.42</w:t>
            </w:r>
          </w:p>
        </w:tc>
        <w:tc>
          <w:tcPr>
            <w:tcW w:w="1160" w:type="dxa"/>
            <w:tcBorders>
              <w:top w:val="nil"/>
              <w:left w:val="nil"/>
              <w:bottom w:val="nil"/>
              <w:right w:val="nil"/>
            </w:tcBorders>
            <w:shd w:val="clear" w:color="auto" w:fill="auto"/>
            <w:noWrap/>
            <w:vAlign w:val="bottom"/>
            <w:hideMark/>
          </w:tcPr>
          <w:p w14:paraId="34C746B8"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5BF0D1EA" w14:textId="77777777" w:rsidR="00B415D9" w:rsidRPr="00A850A0" w:rsidRDefault="00B415D9" w:rsidP="00F866EA">
            <w:pPr>
              <w:spacing w:after="0" w:line="240" w:lineRule="auto"/>
              <w:rPr>
                <w:color w:val="000000"/>
              </w:rPr>
            </w:pPr>
            <w:r w:rsidRPr="00A850A0">
              <w:rPr>
                <w:color w:val="000000"/>
              </w:rPr>
              <w:t>.86</w:t>
            </w:r>
          </w:p>
        </w:tc>
      </w:tr>
      <w:tr w:rsidR="00B415D9" w:rsidRPr="00A850A0" w14:paraId="488416C2" w14:textId="77777777" w:rsidTr="00F866EA">
        <w:trPr>
          <w:trHeight w:val="299"/>
        </w:trPr>
        <w:tc>
          <w:tcPr>
            <w:tcW w:w="1959" w:type="dxa"/>
            <w:tcBorders>
              <w:top w:val="nil"/>
              <w:left w:val="nil"/>
              <w:bottom w:val="nil"/>
              <w:right w:val="nil"/>
            </w:tcBorders>
            <w:shd w:val="clear" w:color="auto" w:fill="auto"/>
            <w:noWrap/>
            <w:vAlign w:val="bottom"/>
            <w:hideMark/>
          </w:tcPr>
          <w:p w14:paraId="04C60E13" w14:textId="77777777" w:rsidR="00B415D9" w:rsidRPr="00A850A0" w:rsidRDefault="00B415D9" w:rsidP="00F866EA">
            <w:pPr>
              <w:spacing w:after="0" w:line="240" w:lineRule="auto"/>
              <w:jc w:val="left"/>
              <w:rPr>
                <w:color w:val="000000"/>
              </w:rPr>
            </w:pPr>
            <w:r w:rsidRPr="00A850A0">
              <w:rPr>
                <w:color w:val="000000"/>
              </w:rPr>
              <w:t>Belgium</w:t>
            </w:r>
          </w:p>
        </w:tc>
        <w:tc>
          <w:tcPr>
            <w:tcW w:w="1160" w:type="dxa"/>
            <w:tcBorders>
              <w:top w:val="nil"/>
              <w:left w:val="nil"/>
              <w:bottom w:val="nil"/>
              <w:right w:val="nil"/>
            </w:tcBorders>
            <w:shd w:val="clear" w:color="auto" w:fill="auto"/>
            <w:noWrap/>
            <w:vAlign w:val="bottom"/>
            <w:hideMark/>
          </w:tcPr>
          <w:p w14:paraId="3D16914C" w14:textId="77777777" w:rsidR="00B415D9" w:rsidRPr="00A850A0" w:rsidRDefault="00B415D9" w:rsidP="00F866EA">
            <w:pPr>
              <w:spacing w:after="0" w:line="240" w:lineRule="auto"/>
              <w:rPr>
                <w:color w:val="000000"/>
              </w:rPr>
            </w:pPr>
            <w:r w:rsidRPr="00A850A0">
              <w:rPr>
                <w:color w:val="000000"/>
              </w:rPr>
              <w:t>.90</w:t>
            </w:r>
          </w:p>
        </w:tc>
        <w:tc>
          <w:tcPr>
            <w:tcW w:w="1160" w:type="dxa"/>
            <w:tcBorders>
              <w:top w:val="nil"/>
              <w:left w:val="nil"/>
              <w:bottom w:val="nil"/>
              <w:right w:val="nil"/>
            </w:tcBorders>
            <w:shd w:val="clear" w:color="auto" w:fill="auto"/>
            <w:noWrap/>
            <w:vAlign w:val="bottom"/>
            <w:hideMark/>
          </w:tcPr>
          <w:p w14:paraId="25D0D266" w14:textId="77777777" w:rsidR="00B415D9" w:rsidRPr="00A850A0" w:rsidRDefault="00B415D9" w:rsidP="00F866EA">
            <w:pPr>
              <w:spacing w:after="0" w:line="240" w:lineRule="auto"/>
              <w:rPr>
                <w:color w:val="000000"/>
              </w:rPr>
            </w:pPr>
            <w:r w:rsidRPr="00A850A0">
              <w:rPr>
                <w:color w:val="000000"/>
              </w:rPr>
              <w:t>.40</w:t>
            </w:r>
          </w:p>
        </w:tc>
        <w:tc>
          <w:tcPr>
            <w:tcW w:w="1160" w:type="dxa"/>
            <w:tcBorders>
              <w:top w:val="nil"/>
              <w:left w:val="nil"/>
              <w:bottom w:val="nil"/>
              <w:right w:val="nil"/>
            </w:tcBorders>
            <w:shd w:val="clear" w:color="auto" w:fill="auto"/>
            <w:noWrap/>
            <w:vAlign w:val="bottom"/>
            <w:hideMark/>
          </w:tcPr>
          <w:p w14:paraId="572458F6" w14:textId="77777777" w:rsidR="00B415D9" w:rsidRPr="00A850A0" w:rsidRDefault="00B415D9" w:rsidP="00F866EA">
            <w:pPr>
              <w:spacing w:after="0" w:line="240" w:lineRule="auto"/>
              <w:rPr>
                <w:color w:val="000000"/>
              </w:rPr>
            </w:pPr>
            <w:r w:rsidRPr="00A850A0">
              <w:rPr>
                <w:color w:val="000000"/>
              </w:rPr>
              <w:t>.09</w:t>
            </w:r>
          </w:p>
        </w:tc>
        <w:tc>
          <w:tcPr>
            <w:tcW w:w="1163" w:type="dxa"/>
            <w:tcBorders>
              <w:top w:val="nil"/>
              <w:left w:val="nil"/>
              <w:bottom w:val="nil"/>
              <w:right w:val="nil"/>
            </w:tcBorders>
            <w:shd w:val="clear" w:color="auto" w:fill="auto"/>
            <w:noWrap/>
            <w:vAlign w:val="bottom"/>
            <w:hideMark/>
          </w:tcPr>
          <w:p w14:paraId="2875C144" w14:textId="77777777" w:rsidR="00B415D9" w:rsidRPr="00A850A0" w:rsidRDefault="00B415D9" w:rsidP="00F866EA">
            <w:pPr>
              <w:spacing w:after="0" w:line="240" w:lineRule="auto"/>
              <w:rPr>
                <w:color w:val="000000"/>
              </w:rPr>
            </w:pPr>
            <w:r w:rsidRPr="00A850A0">
              <w:rPr>
                <w:color w:val="000000"/>
              </w:rPr>
              <w:t>.81</w:t>
            </w:r>
          </w:p>
        </w:tc>
      </w:tr>
      <w:tr w:rsidR="00B415D9" w:rsidRPr="00A850A0" w14:paraId="3DEAB25F" w14:textId="77777777" w:rsidTr="00F866EA">
        <w:trPr>
          <w:trHeight w:val="299"/>
        </w:trPr>
        <w:tc>
          <w:tcPr>
            <w:tcW w:w="1959" w:type="dxa"/>
            <w:tcBorders>
              <w:top w:val="nil"/>
              <w:left w:val="nil"/>
              <w:bottom w:val="nil"/>
              <w:right w:val="nil"/>
            </w:tcBorders>
            <w:shd w:val="clear" w:color="auto" w:fill="auto"/>
            <w:noWrap/>
            <w:vAlign w:val="bottom"/>
            <w:hideMark/>
          </w:tcPr>
          <w:p w14:paraId="0E69EE24" w14:textId="77777777" w:rsidR="00B415D9" w:rsidRPr="00A850A0" w:rsidRDefault="00B415D9" w:rsidP="00F866EA">
            <w:pPr>
              <w:spacing w:after="0" w:line="240" w:lineRule="auto"/>
              <w:jc w:val="left"/>
              <w:rPr>
                <w:color w:val="000000"/>
              </w:rPr>
            </w:pPr>
            <w:r w:rsidRPr="00A850A0">
              <w:rPr>
                <w:color w:val="000000"/>
              </w:rPr>
              <w:t>Russia</w:t>
            </w:r>
          </w:p>
        </w:tc>
        <w:tc>
          <w:tcPr>
            <w:tcW w:w="1160" w:type="dxa"/>
            <w:tcBorders>
              <w:top w:val="nil"/>
              <w:left w:val="nil"/>
              <w:bottom w:val="nil"/>
              <w:right w:val="nil"/>
            </w:tcBorders>
            <w:shd w:val="clear" w:color="auto" w:fill="auto"/>
            <w:noWrap/>
            <w:vAlign w:val="bottom"/>
            <w:hideMark/>
          </w:tcPr>
          <w:p w14:paraId="10E19081" w14:textId="77777777" w:rsidR="00B415D9" w:rsidRPr="00A850A0" w:rsidRDefault="00B415D9" w:rsidP="00F866EA">
            <w:pPr>
              <w:spacing w:after="0" w:line="240" w:lineRule="auto"/>
              <w:rPr>
                <w:color w:val="000000"/>
              </w:rPr>
            </w:pPr>
            <w:r w:rsidRPr="00A850A0">
              <w:rPr>
                <w:color w:val="000000"/>
              </w:rPr>
              <w:t>.90</w:t>
            </w:r>
          </w:p>
        </w:tc>
        <w:tc>
          <w:tcPr>
            <w:tcW w:w="1160" w:type="dxa"/>
            <w:tcBorders>
              <w:top w:val="nil"/>
              <w:left w:val="nil"/>
              <w:bottom w:val="nil"/>
              <w:right w:val="nil"/>
            </w:tcBorders>
            <w:shd w:val="clear" w:color="auto" w:fill="auto"/>
            <w:noWrap/>
            <w:vAlign w:val="bottom"/>
            <w:hideMark/>
          </w:tcPr>
          <w:p w14:paraId="38716BE5" w14:textId="77777777" w:rsidR="00B415D9" w:rsidRPr="00A850A0" w:rsidRDefault="00B415D9" w:rsidP="00F866EA">
            <w:pPr>
              <w:spacing w:after="0" w:line="240" w:lineRule="auto"/>
              <w:rPr>
                <w:color w:val="000000"/>
              </w:rPr>
            </w:pPr>
            <w:r w:rsidRPr="00A850A0">
              <w:rPr>
                <w:color w:val="000000"/>
              </w:rPr>
              <w:t>.36</w:t>
            </w:r>
          </w:p>
        </w:tc>
        <w:tc>
          <w:tcPr>
            <w:tcW w:w="1160" w:type="dxa"/>
            <w:tcBorders>
              <w:top w:val="nil"/>
              <w:left w:val="nil"/>
              <w:bottom w:val="nil"/>
              <w:right w:val="nil"/>
            </w:tcBorders>
            <w:shd w:val="clear" w:color="auto" w:fill="auto"/>
            <w:noWrap/>
            <w:vAlign w:val="bottom"/>
            <w:hideMark/>
          </w:tcPr>
          <w:p w14:paraId="72451185"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5EBE19A5" w14:textId="77777777" w:rsidR="00B415D9" w:rsidRPr="00A850A0" w:rsidRDefault="00B415D9" w:rsidP="00F866EA">
            <w:pPr>
              <w:spacing w:after="0" w:line="240" w:lineRule="auto"/>
              <w:rPr>
                <w:color w:val="000000"/>
              </w:rPr>
            </w:pPr>
            <w:r w:rsidRPr="00A850A0">
              <w:rPr>
                <w:color w:val="000000"/>
              </w:rPr>
              <w:t>.81</w:t>
            </w:r>
          </w:p>
        </w:tc>
      </w:tr>
      <w:tr w:rsidR="00B415D9" w:rsidRPr="00A850A0" w14:paraId="7E747EC0" w14:textId="77777777" w:rsidTr="00F866EA">
        <w:trPr>
          <w:trHeight w:val="299"/>
        </w:trPr>
        <w:tc>
          <w:tcPr>
            <w:tcW w:w="1959" w:type="dxa"/>
            <w:tcBorders>
              <w:top w:val="nil"/>
              <w:left w:val="nil"/>
              <w:bottom w:val="nil"/>
              <w:right w:val="nil"/>
            </w:tcBorders>
            <w:shd w:val="clear" w:color="auto" w:fill="auto"/>
            <w:noWrap/>
            <w:vAlign w:val="bottom"/>
            <w:hideMark/>
          </w:tcPr>
          <w:p w14:paraId="6FC9C1C6" w14:textId="77777777" w:rsidR="00B415D9" w:rsidRPr="00A850A0" w:rsidRDefault="00B415D9" w:rsidP="00F866EA">
            <w:pPr>
              <w:spacing w:after="0" w:line="240" w:lineRule="auto"/>
              <w:jc w:val="left"/>
              <w:rPr>
                <w:color w:val="000000"/>
              </w:rPr>
            </w:pPr>
            <w:r w:rsidRPr="00A850A0">
              <w:rPr>
                <w:color w:val="000000"/>
              </w:rPr>
              <w:t>Croatia</w:t>
            </w:r>
          </w:p>
        </w:tc>
        <w:tc>
          <w:tcPr>
            <w:tcW w:w="1160" w:type="dxa"/>
            <w:tcBorders>
              <w:top w:val="nil"/>
              <w:left w:val="nil"/>
              <w:bottom w:val="nil"/>
              <w:right w:val="nil"/>
            </w:tcBorders>
            <w:shd w:val="clear" w:color="auto" w:fill="auto"/>
            <w:noWrap/>
            <w:vAlign w:val="bottom"/>
            <w:hideMark/>
          </w:tcPr>
          <w:p w14:paraId="2A1BABE9" w14:textId="77777777" w:rsidR="00B415D9" w:rsidRPr="00A850A0" w:rsidRDefault="00B415D9" w:rsidP="00F866EA">
            <w:pPr>
              <w:spacing w:after="0" w:line="240" w:lineRule="auto"/>
              <w:rPr>
                <w:color w:val="000000"/>
              </w:rPr>
            </w:pPr>
            <w:r w:rsidRPr="00A850A0">
              <w:rPr>
                <w:color w:val="000000"/>
              </w:rPr>
              <w:t>.90</w:t>
            </w:r>
          </w:p>
        </w:tc>
        <w:tc>
          <w:tcPr>
            <w:tcW w:w="1160" w:type="dxa"/>
            <w:tcBorders>
              <w:top w:val="nil"/>
              <w:left w:val="nil"/>
              <w:bottom w:val="nil"/>
              <w:right w:val="nil"/>
            </w:tcBorders>
            <w:shd w:val="clear" w:color="auto" w:fill="auto"/>
            <w:noWrap/>
            <w:vAlign w:val="bottom"/>
            <w:hideMark/>
          </w:tcPr>
          <w:p w14:paraId="029EE18A" w14:textId="77777777" w:rsidR="00B415D9" w:rsidRPr="00A850A0" w:rsidRDefault="00B415D9" w:rsidP="00F866EA">
            <w:pPr>
              <w:spacing w:after="0" w:line="240" w:lineRule="auto"/>
              <w:rPr>
                <w:color w:val="000000"/>
              </w:rPr>
            </w:pPr>
            <w:r w:rsidRPr="00A850A0">
              <w:rPr>
                <w:color w:val="000000"/>
              </w:rPr>
              <w:t>.26</w:t>
            </w:r>
          </w:p>
        </w:tc>
        <w:tc>
          <w:tcPr>
            <w:tcW w:w="1160" w:type="dxa"/>
            <w:tcBorders>
              <w:top w:val="nil"/>
              <w:left w:val="nil"/>
              <w:bottom w:val="nil"/>
              <w:right w:val="nil"/>
            </w:tcBorders>
            <w:shd w:val="clear" w:color="auto" w:fill="auto"/>
            <w:noWrap/>
            <w:vAlign w:val="bottom"/>
            <w:hideMark/>
          </w:tcPr>
          <w:p w14:paraId="243F2115"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24E4F415" w14:textId="77777777" w:rsidR="00B415D9" w:rsidRPr="00A850A0" w:rsidRDefault="00B415D9" w:rsidP="00F866EA">
            <w:pPr>
              <w:spacing w:after="0" w:line="240" w:lineRule="auto"/>
              <w:rPr>
                <w:color w:val="000000"/>
              </w:rPr>
            </w:pPr>
            <w:r w:rsidRPr="00A850A0">
              <w:rPr>
                <w:color w:val="000000"/>
              </w:rPr>
              <w:t>.80</w:t>
            </w:r>
          </w:p>
        </w:tc>
      </w:tr>
      <w:tr w:rsidR="00B415D9" w:rsidRPr="00A850A0" w14:paraId="1E3866EF" w14:textId="77777777" w:rsidTr="00F866EA">
        <w:trPr>
          <w:trHeight w:val="299"/>
        </w:trPr>
        <w:tc>
          <w:tcPr>
            <w:tcW w:w="1959" w:type="dxa"/>
            <w:tcBorders>
              <w:top w:val="nil"/>
              <w:left w:val="nil"/>
              <w:bottom w:val="nil"/>
              <w:right w:val="nil"/>
            </w:tcBorders>
            <w:shd w:val="clear" w:color="auto" w:fill="auto"/>
            <w:noWrap/>
            <w:vAlign w:val="bottom"/>
            <w:hideMark/>
          </w:tcPr>
          <w:p w14:paraId="562F83A2" w14:textId="77777777" w:rsidR="00B415D9" w:rsidRPr="00A850A0" w:rsidRDefault="00B415D9" w:rsidP="00F866EA">
            <w:pPr>
              <w:spacing w:after="0" w:line="240" w:lineRule="auto"/>
              <w:jc w:val="left"/>
              <w:rPr>
                <w:color w:val="000000"/>
              </w:rPr>
            </w:pPr>
            <w:r w:rsidRPr="00A850A0">
              <w:rPr>
                <w:color w:val="000000"/>
              </w:rPr>
              <w:t>Peru</w:t>
            </w:r>
          </w:p>
        </w:tc>
        <w:tc>
          <w:tcPr>
            <w:tcW w:w="1160" w:type="dxa"/>
            <w:tcBorders>
              <w:top w:val="nil"/>
              <w:left w:val="nil"/>
              <w:bottom w:val="nil"/>
              <w:right w:val="nil"/>
            </w:tcBorders>
            <w:shd w:val="clear" w:color="auto" w:fill="auto"/>
            <w:noWrap/>
            <w:vAlign w:val="bottom"/>
            <w:hideMark/>
          </w:tcPr>
          <w:p w14:paraId="77D9CFAA" w14:textId="77777777" w:rsidR="00B415D9" w:rsidRPr="00A850A0" w:rsidRDefault="00B415D9" w:rsidP="00F866EA">
            <w:pPr>
              <w:spacing w:after="0" w:line="240" w:lineRule="auto"/>
              <w:rPr>
                <w:color w:val="000000"/>
              </w:rPr>
            </w:pPr>
            <w:r w:rsidRPr="00A850A0">
              <w:rPr>
                <w:color w:val="000000"/>
              </w:rPr>
              <w:t>.89</w:t>
            </w:r>
          </w:p>
        </w:tc>
        <w:tc>
          <w:tcPr>
            <w:tcW w:w="1160" w:type="dxa"/>
            <w:tcBorders>
              <w:top w:val="nil"/>
              <w:left w:val="nil"/>
              <w:bottom w:val="nil"/>
              <w:right w:val="nil"/>
            </w:tcBorders>
            <w:shd w:val="clear" w:color="auto" w:fill="auto"/>
            <w:noWrap/>
            <w:vAlign w:val="bottom"/>
            <w:hideMark/>
          </w:tcPr>
          <w:p w14:paraId="7A00A996" w14:textId="77777777" w:rsidR="00B415D9" w:rsidRPr="00A850A0" w:rsidRDefault="00B415D9" w:rsidP="00F866EA">
            <w:pPr>
              <w:spacing w:after="0" w:line="240" w:lineRule="auto"/>
              <w:rPr>
                <w:color w:val="000000"/>
              </w:rPr>
            </w:pPr>
            <w:r w:rsidRPr="00A850A0">
              <w:rPr>
                <w:color w:val="000000"/>
              </w:rPr>
              <w:t>.46</w:t>
            </w:r>
          </w:p>
        </w:tc>
        <w:tc>
          <w:tcPr>
            <w:tcW w:w="1160" w:type="dxa"/>
            <w:tcBorders>
              <w:top w:val="nil"/>
              <w:left w:val="nil"/>
              <w:bottom w:val="nil"/>
              <w:right w:val="nil"/>
            </w:tcBorders>
            <w:shd w:val="clear" w:color="auto" w:fill="auto"/>
            <w:noWrap/>
            <w:vAlign w:val="bottom"/>
            <w:hideMark/>
          </w:tcPr>
          <w:p w14:paraId="0676D103" w14:textId="77777777" w:rsidR="00B415D9" w:rsidRPr="00A850A0" w:rsidRDefault="00B415D9" w:rsidP="00F866EA">
            <w:pPr>
              <w:spacing w:after="0" w:line="240" w:lineRule="auto"/>
              <w:rPr>
                <w:color w:val="000000"/>
              </w:rPr>
            </w:pPr>
            <w:r w:rsidRPr="00A850A0">
              <w:rPr>
                <w:color w:val="000000"/>
              </w:rPr>
              <w:t>.06</w:t>
            </w:r>
          </w:p>
        </w:tc>
        <w:tc>
          <w:tcPr>
            <w:tcW w:w="1163" w:type="dxa"/>
            <w:tcBorders>
              <w:top w:val="nil"/>
              <w:left w:val="nil"/>
              <w:bottom w:val="nil"/>
              <w:right w:val="nil"/>
            </w:tcBorders>
            <w:shd w:val="clear" w:color="auto" w:fill="auto"/>
            <w:noWrap/>
            <w:vAlign w:val="bottom"/>
            <w:hideMark/>
          </w:tcPr>
          <w:p w14:paraId="173D1AC3" w14:textId="77777777" w:rsidR="00B415D9" w:rsidRPr="00A850A0" w:rsidRDefault="00B415D9" w:rsidP="00F866EA">
            <w:pPr>
              <w:spacing w:after="0" w:line="240" w:lineRule="auto"/>
              <w:rPr>
                <w:color w:val="000000"/>
              </w:rPr>
            </w:pPr>
            <w:r w:rsidRPr="00A850A0">
              <w:rPr>
                <w:color w:val="000000"/>
              </w:rPr>
              <w:t>.80</w:t>
            </w:r>
          </w:p>
        </w:tc>
      </w:tr>
      <w:tr w:rsidR="00B415D9" w:rsidRPr="00A850A0" w14:paraId="42631FBC" w14:textId="77777777" w:rsidTr="00F866EA">
        <w:trPr>
          <w:trHeight w:val="299"/>
        </w:trPr>
        <w:tc>
          <w:tcPr>
            <w:tcW w:w="1959" w:type="dxa"/>
            <w:tcBorders>
              <w:top w:val="nil"/>
              <w:left w:val="nil"/>
              <w:bottom w:val="nil"/>
              <w:right w:val="nil"/>
            </w:tcBorders>
            <w:shd w:val="clear" w:color="auto" w:fill="auto"/>
            <w:noWrap/>
            <w:vAlign w:val="bottom"/>
            <w:hideMark/>
          </w:tcPr>
          <w:p w14:paraId="74D1AC39" w14:textId="77777777" w:rsidR="00B415D9" w:rsidRPr="00A850A0" w:rsidRDefault="00B415D9" w:rsidP="00F866EA">
            <w:pPr>
              <w:spacing w:after="0" w:line="240" w:lineRule="auto"/>
              <w:jc w:val="left"/>
              <w:rPr>
                <w:color w:val="000000"/>
              </w:rPr>
            </w:pPr>
            <w:r w:rsidRPr="00A850A0">
              <w:rPr>
                <w:color w:val="000000"/>
              </w:rPr>
              <w:t>United Kingdom</w:t>
            </w:r>
          </w:p>
        </w:tc>
        <w:tc>
          <w:tcPr>
            <w:tcW w:w="1160" w:type="dxa"/>
            <w:tcBorders>
              <w:top w:val="nil"/>
              <w:left w:val="nil"/>
              <w:bottom w:val="nil"/>
              <w:right w:val="nil"/>
            </w:tcBorders>
            <w:shd w:val="clear" w:color="auto" w:fill="auto"/>
            <w:noWrap/>
            <w:vAlign w:val="bottom"/>
            <w:hideMark/>
          </w:tcPr>
          <w:p w14:paraId="2AC8F8E6" w14:textId="77777777" w:rsidR="00B415D9" w:rsidRPr="00A850A0" w:rsidRDefault="00B415D9" w:rsidP="00F866EA">
            <w:pPr>
              <w:spacing w:after="0" w:line="240" w:lineRule="auto"/>
              <w:rPr>
                <w:color w:val="000000"/>
              </w:rPr>
            </w:pPr>
            <w:r w:rsidRPr="00A850A0">
              <w:rPr>
                <w:color w:val="000000"/>
              </w:rPr>
              <w:t>.89</w:t>
            </w:r>
          </w:p>
        </w:tc>
        <w:tc>
          <w:tcPr>
            <w:tcW w:w="1160" w:type="dxa"/>
            <w:tcBorders>
              <w:top w:val="nil"/>
              <w:left w:val="nil"/>
              <w:bottom w:val="nil"/>
              <w:right w:val="nil"/>
            </w:tcBorders>
            <w:shd w:val="clear" w:color="auto" w:fill="auto"/>
            <w:noWrap/>
            <w:vAlign w:val="bottom"/>
            <w:hideMark/>
          </w:tcPr>
          <w:p w14:paraId="7B01627F" w14:textId="77777777" w:rsidR="00B415D9" w:rsidRPr="00A850A0" w:rsidRDefault="00B415D9" w:rsidP="00F866EA">
            <w:pPr>
              <w:spacing w:after="0" w:line="240" w:lineRule="auto"/>
              <w:rPr>
                <w:color w:val="000000"/>
              </w:rPr>
            </w:pPr>
            <w:r w:rsidRPr="00A850A0">
              <w:rPr>
                <w:color w:val="000000"/>
              </w:rPr>
              <w:t>.37</w:t>
            </w:r>
          </w:p>
        </w:tc>
        <w:tc>
          <w:tcPr>
            <w:tcW w:w="1160" w:type="dxa"/>
            <w:tcBorders>
              <w:top w:val="nil"/>
              <w:left w:val="nil"/>
              <w:bottom w:val="nil"/>
              <w:right w:val="nil"/>
            </w:tcBorders>
            <w:shd w:val="clear" w:color="auto" w:fill="auto"/>
            <w:noWrap/>
            <w:vAlign w:val="bottom"/>
            <w:hideMark/>
          </w:tcPr>
          <w:p w14:paraId="7F2CA542"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6ECCD062" w14:textId="77777777" w:rsidR="00B415D9" w:rsidRPr="00A850A0" w:rsidRDefault="00B415D9" w:rsidP="00F866EA">
            <w:pPr>
              <w:spacing w:after="0" w:line="240" w:lineRule="auto"/>
              <w:rPr>
                <w:color w:val="000000"/>
              </w:rPr>
            </w:pPr>
            <w:r w:rsidRPr="00A850A0">
              <w:rPr>
                <w:color w:val="000000"/>
              </w:rPr>
              <w:t>.79</w:t>
            </w:r>
          </w:p>
        </w:tc>
      </w:tr>
      <w:tr w:rsidR="00B415D9" w:rsidRPr="00A850A0" w14:paraId="0FF5AE76" w14:textId="77777777" w:rsidTr="00F866EA">
        <w:trPr>
          <w:trHeight w:val="299"/>
        </w:trPr>
        <w:tc>
          <w:tcPr>
            <w:tcW w:w="1959" w:type="dxa"/>
            <w:tcBorders>
              <w:top w:val="nil"/>
              <w:left w:val="nil"/>
              <w:bottom w:val="nil"/>
              <w:right w:val="nil"/>
            </w:tcBorders>
            <w:shd w:val="clear" w:color="auto" w:fill="auto"/>
            <w:noWrap/>
            <w:vAlign w:val="bottom"/>
            <w:hideMark/>
          </w:tcPr>
          <w:p w14:paraId="6FC54AEE" w14:textId="77777777" w:rsidR="00B415D9" w:rsidRPr="00A850A0" w:rsidRDefault="00B415D9" w:rsidP="00F866EA">
            <w:pPr>
              <w:spacing w:after="0" w:line="240" w:lineRule="auto"/>
              <w:jc w:val="left"/>
              <w:rPr>
                <w:color w:val="000000"/>
              </w:rPr>
            </w:pPr>
            <w:r w:rsidRPr="00A850A0">
              <w:rPr>
                <w:color w:val="000000"/>
              </w:rPr>
              <w:t>Sweden</w:t>
            </w:r>
          </w:p>
        </w:tc>
        <w:tc>
          <w:tcPr>
            <w:tcW w:w="1160" w:type="dxa"/>
            <w:tcBorders>
              <w:top w:val="nil"/>
              <w:left w:val="nil"/>
              <w:bottom w:val="nil"/>
              <w:right w:val="nil"/>
            </w:tcBorders>
            <w:shd w:val="clear" w:color="auto" w:fill="auto"/>
            <w:noWrap/>
            <w:vAlign w:val="bottom"/>
            <w:hideMark/>
          </w:tcPr>
          <w:p w14:paraId="7ED89248" w14:textId="77777777" w:rsidR="00B415D9" w:rsidRPr="00A850A0" w:rsidRDefault="00B415D9" w:rsidP="00F866EA">
            <w:pPr>
              <w:spacing w:after="0" w:line="240" w:lineRule="auto"/>
              <w:rPr>
                <w:color w:val="000000"/>
              </w:rPr>
            </w:pPr>
            <w:r w:rsidRPr="00A850A0">
              <w:rPr>
                <w:color w:val="000000"/>
              </w:rPr>
              <w:t>.89</w:t>
            </w:r>
          </w:p>
        </w:tc>
        <w:tc>
          <w:tcPr>
            <w:tcW w:w="1160" w:type="dxa"/>
            <w:tcBorders>
              <w:top w:val="nil"/>
              <w:left w:val="nil"/>
              <w:bottom w:val="nil"/>
              <w:right w:val="nil"/>
            </w:tcBorders>
            <w:shd w:val="clear" w:color="auto" w:fill="auto"/>
            <w:noWrap/>
            <w:vAlign w:val="bottom"/>
            <w:hideMark/>
          </w:tcPr>
          <w:p w14:paraId="5570BDE1" w14:textId="77777777" w:rsidR="00B415D9" w:rsidRPr="00A850A0" w:rsidRDefault="00B415D9" w:rsidP="00F866EA">
            <w:pPr>
              <w:spacing w:after="0" w:line="240" w:lineRule="auto"/>
              <w:rPr>
                <w:color w:val="000000"/>
              </w:rPr>
            </w:pPr>
            <w:r w:rsidRPr="00A850A0">
              <w:rPr>
                <w:color w:val="000000"/>
              </w:rPr>
              <w:t>.38</w:t>
            </w:r>
          </w:p>
        </w:tc>
        <w:tc>
          <w:tcPr>
            <w:tcW w:w="1160" w:type="dxa"/>
            <w:tcBorders>
              <w:top w:val="nil"/>
              <w:left w:val="nil"/>
              <w:bottom w:val="nil"/>
              <w:right w:val="nil"/>
            </w:tcBorders>
            <w:shd w:val="clear" w:color="auto" w:fill="auto"/>
            <w:noWrap/>
            <w:vAlign w:val="bottom"/>
            <w:hideMark/>
          </w:tcPr>
          <w:p w14:paraId="613145F7" w14:textId="77777777" w:rsidR="00B415D9" w:rsidRPr="00A850A0" w:rsidRDefault="00B415D9" w:rsidP="00F866EA">
            <w:pPr>
              <w:spacing w:after="0" w:line="240" w:lineRule="auto"/>
              <w:rPr>
                <w:color w:val="000000"/>
              </w:rPr>
            </w:pPr>
            <w:r w:rsidRPr="00A850A0">
              <w:rPr>
                <w:color w:val="000000"/>
              </w:rPr>
              <w:t>.05</w:t>
            </w:r>
          </w:p>
        </w:tc>
        <w:tc>
          <w:tcPr>
            <w:tcW w:w="1163" w:type="dxa"/>
            <w:tcBorders>
              <w:top w:val="nil"/>
              <w:left w:val="nil"/>
              <w:bottom w:val="nil"/>
              <w:right w:val="nil"/>
            </w:tcBorders>
            <w:shd w:val="clear" w:color="auto" w:fill="auto"/>
            <w:noWrap/>
            <w:vAlign w:val="bottom"/>
            <w:hideMark/>
          </w:tcPr>
          <w:p w14:paraId="3A55FDC8" w14:textId="77777777" w:rsidR="00B415D9" w:rsidRPr="00A850A0" w:rsidRDefault="00B415D9" w:rsidP="00F866EA">
            <w:pPr>
              <w:spacing w:after="0" w:line="240" w:lineRule="auto"/>
              <w:rPr>
                <w:color w:val="000000"/>
              </w:rPr>
            </w:pPr>
            <w:r w:rsidRPr="00A850A0">
              <w:rPr>
                <w:color w:val="000000"/>
              </w:rPr>
              <w:t>.78</w:t>
            </w:r>
          </w:p>
        </w:tc>
      </w:tr>
      <w:tr w:rsidR="00B415D9" w:rsidRPr="00A850A0" w14:paraId="5809ECC5" w14:textId="77777777" w:rsidTr="00F866EA">
        <w:trPr>
          <w:trHeight w:val="299"/>
        </w:trPr>
        <w:tc>
          <w:tcPr>
            <w:tcW w:w="1959" w:type="dxa"/>
            <w:tcBorders>
              <w:top w:val="nil"/>
              <w:left w:val="nil"/>
              <w:bottom w:val="nil"/>
              <w:right w:val="nil"/>
            </w:tcBorders>
            <w:shd w:val="clear" w:color="auto" w:fill="auto"/>
            <w:noWrap/>
            <w:vAlign w:val="bottom"/>
            <w:hideMark/>
          </w:tcPr>
          <w:p w14:paraId="5F329F4F" w14:textId="77777777" w:rsidR="00B415D9" w:rsidRPr="00A850A0" w:rsidRDefault="00B415D9" w:rsidP="00F866EA">
            <w:pPr>
              <w:spacing w:after="0" w:line="240" w:lineRule="auto"/>
              <w:jc w:val="left"/>
              <w:rPr>
                <w:color w:val="000000"/>
              </w:rPr>
            </w:pPr>
            <w:r w:rsidRPr="00A850A0">
              <w:rPr>
                <w:color w:val="000000"/>
              </w:rPr>
              <w:t>France</w:t>
            </w:r>
          </w:p>
        </w:tc>
        <w:tc>
          <w:tcPr>
            <w:tcW w:w="1160" w:type="dxa"/>
            <w:tcBorders>
              <w:top w:val="nil"/>
              <w:left w:val="nil"/>
              <w:bottom w:val="nil"/>
              <w:right w:val="nil"/>
            </w:tcBorders>
            <w:shd w:val="clear" w:color="auto" w:fill="auto"/>
            <w:noWrap/>
            <w:vAlign w:val="bottom"/>
            <w:hideMark/>
          </w:tcPr>
          <w:p w14:paraId="34168D9D" w14:textId="77777777" w:rsidR="00B415D9" w:rsidRPr="00A850A0" w:rsidRDefault="00B415D9" w:rsidP="00F866EA">
            <w:pPr>
              <w:spacing w:after="0" w:line="240" w:lineRule="auto"/>
              <w:rPr>
                <w:color w:val="000000"/>
              </w:rPr>
            </w:pPr>
            <w:r w:rsidRPr="00A850A0">
              <w:rPr>
                <w:color w:val="000000"/>
              </w:rPr>
              <w:t>.88</w:t>
            </w:r>
          </w:p>
        </w:tc>
        <w:tc>
          <w:tcPr>
            <w:tcW w:w="1160" w:type="dxa"/>
            <w:tcBorders>
              <w:top w:val="nil"/>
              <w:left w:val="nil"/>
              <w:bottom w:val="nil"/>
              <w:right w:val="nil"/>
            </w:tcBorders>
            <w:shd w:val="clear" w:color="auto" w:fill="auto"/>
            <w:noWrap/>
            <w:vAlign w:val="bottom"/>
            <w:hideMark/>
          </w:tcPr>
          <w:p w14:paraId="604399CC" w14:textId="77777777" w:rsidR="00B415D9" w:rsidRPr="00A850A0" w:rsidRDefault="00B415D9" w:rsidP="00F866EA">
            <w:pPr>
              <w:spacing w:after="0" w:line="240" w:lineRule="auto"/>
              <w:rPr>
                <w:color w:val="000000"/>
              </w:rPr>
            </w:pPr>
            <w:r w:rsidRPr="00A850A0">
              <w:rPr>
                <w:color w:val="000000"/>
              </w:rPr>
              <w:t>.27</w:t>
            </w:r>
          </w:p>
        </w:tc>
        <w:tc>
          <w:tcPr>
            <w:tcW w:w="1160" w:type="dxa"/>
            <w:tcBorders>
              <w:top w:val="nil"/>
              <w:left w:val="nil"/>
              <w:bottom w:val="nil"/>
              <w:right w:val="nil"/>
            </w:tcBorders>
            <w:shd w:val="clear" w:color="auto" w:fill="auto"/>
            <w:noWrap/>
            <w:vAlign w:val="bottom"/>
            <w:hideMark/>
          </w:tcPr>
          <w:p w14:paraId="1C70182E"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135C53DC" w14:textId="77777777" w:rsidR="00B415D9" w:rsidRPr="00A850A0" w:rsidRDefault="00B415D9" w:rsidP="00F866EA">
            <w:pPr>
              <w:spacing w:after="0" w:line="240" w:lineRule="auto"/>
              <w:rPr>
                <w:color w:val="000000"/>
              </w:rPr>
            </w:pPr>
            <w:r w:rsidRPr="00A850A0">
              <w:rPr>
                <w:color w:val="000000"/>
              </w:rPr>
              <w:t>.77</w:t>
            </w:r>
          </w:p>
        </w:tc>
      </w:tr>
      <w:tr w:rsidR="00B415D9" w:rsidRPr="00A850A0" w14:paraId="13448A73" w14:textId="77777777" w:rsidTr="00F866EA">
        <w:trPr>
          <w:trHeight w:val="299"/>
        </w:trPr>
        <w:tc>
          <w:tcPr>
            <w:tcW w:w="1959" w:type="dxa"/>
            <w:tcBorders>
              <w:top w:val="nil"/>
              <w:left w:val="nil"/>
              <w:bottom w:val="nil"/>
              <w:right w:val="nil"/>
            </w:tcBorders>
            <w:shd w:val="clear" w:color="auto" w:fill="auto"/>
            <w:noWrap/>
            <w:vAlign w:val="bottom"/>
            <w:hideMark/>
          </w:tcPr>
          <w:p w14:paraId="0FCD3735" w14:textId="77777777" w:rsidR="00B415D9" w:rsidRPr="00A850A0" w:rsidRDefault="00B415D9" w:rsidP="00F866EA">
            <w:pPr>
              <w:spacing w:after="0" w:line="240" w:lineRule="auto"/>
              <w:jc w:val="left"/>
              <w:rPr>
                <w:color w:val="000000"/>
              </w:rPr>
            </w:pPr>
            <w:r w:rsidRPr="00A850A0">
              <w:rPr>
                <w:color w:val="000000"/>
              </w:rPr>
              <w:t>Netherlands</w:t>
            </w:r>
          </w:p>
        </w:tc>
        <w:tc>
          <w:tcPr>
            <w:tcW w:w="1160" w:type="dxa"/>
            <w:tcBorders>
              <w:top w:val="nil"/>
              <w:left w:val="nil"/>
              <w:bottom w:val="nil"/>
              <w:right w:val="nil"/>
            </w:tcBorders>
            <w:shd w:val="clear" w:color="auto" w:fill="auto"/>
            <w:noWrap/>
            <w:vAlign w:val="bottom"/>
            <w:hideMark/>
          </w:tcPr>
          <w:p w14:paraId="4ECBA679" w14:textId="77777777" w:rsidR="00B415D9" w:rsidRPr="00A850A0" w:rsidRDefault="00B415D9" w:rsidP="00F866EA">
            <w:pPr>
              <w:spacing w:after="0" w:line="240" w:lineRule="auto"/>
              <w:rPr>
                <w:color w:val="000000"/>
              </w:rPr>
            </w:pPr>
            <w:r w:rsidRPr="00A850A0">
              <w:rPr>
                <w:color w:val="000000"/>
              </w:rPr>
              <w:t>.87</w:t>
            </w:r>
          </w:p>
        </w:tc>
        <w:tc>
          <w:tcPr>
            <w:tcW w:w="1160" w:type="dxa"/>
            <w:tcBorders>
              <w:top w:val="nil"/>
              <w:left w:val="nil"/>
              <w:bottom w:val="nil"/>
              <w:right w:val="nil"/>
            </w:tcBorders>
            <w:shd w:val="clear" w:color="auto" w:fill="auto"/>
            <w:noWrap/>
            <w:vAlign w:val="bottom"/>
            <w:hideMark/>
          </w:tcPr>
          <w:p w14:paraId="75BE4EF7" w14:textId="77777777" w:rsidR="00B415D9" w:rsidRPr="00A850A0" w:rsidRDefault="00B415D9" w:rsidP="00F866EA">
            <w:pPr>
              <w:spacing w:after="0" w:line="240" w:lineRule="auto"/>
              <w:rPr>
                <w:color w:val="000000"/>
              </w:rPr>
            </w:pPr>
            <w:r w:rsidRPr="00A850A0">
              <w:rPr>
                <w:color w:val="000000"/>
              </w:rPr>
              <w:t>.25</w:t>
            </w:r>
          </w:p>
        </w:tc>
        <w:tc>
          <w:tcPr>
            <w:tcW w:w="1160" w:type="dxa"/>
            <w:tcBorders>
              <w:top w:val="nil"/>
              <w:left w:val="nil"/>
              <w:bottom w:val="nil"/>
              <w:right w:val="nil"/>
            </w:tcBorders>
            <w:shd w:val="clear" w:color="auto" w:fill="auto"/>
            <w:noWrap/>
            <w:vAlign w:val="bottom"/>
            <w:hideMark/>
          </w:tcPr>
          <w:p w14:paraId="20E83FDC" w14:textId="77777777" w:rsidR="00B415D9" w:rsidRPr="00A850A0" w:rsidRDefault="00B415D9" w:rsidP="00F866EA">
            <w:pPr>
              <w:spacing w:after="0" w:line="240" w:lineRule="auto"/>
              <w:rPr>
                <w:color w:val="000000"/>
              </w:rPr>
            </w:pPr>
            <w:r w:rsidRPr="00A850A0">
              <w:rPr>
                <w:color w:val="000000"/>
              </w:rPr>
              <w:t>.02</w:t>
            </w:r>
          </w:p>
        </w:tc>
        <w:tc>
          <w:tcPr>
            <w:tcW w:w="1163" w:type="dxa"/>
            <w:tcBorders>
              <w:top w:val="nil"/>
              <w:left w:val="nil"/>
              <w:bottom w:val="nil"/>
              <w:right w:val="nil"/>
            </w:tcBorders>
            <w:shd w:val="clear" w:color="auto" w:fill="auto"/>
            <w:noWrap/>
            <w:vAlign w:val="bottom"/>
            <w:hideMark/>
          </w:tcPr>
          <w:p w14:paraId="08E6A494" w14:textId="77777777" w:rsidR="00B415D9" w:rsidRPr="00A850A0" w:rsidRDefault="00B415D9" w:rsidP="00F866EA">
            <w:pPr>
              <w:spacing w:after="0" w:line="240" w:lineRule="auto"/>
              <w:rPr>
                <w:color w:val="000000"/>
              </w:rPr>
            </w:pPr>
            <w:r w:rsidRPr="00A850A0">
              <w:rPr>
                <w:color w:val="000000"/>
              </w:rPr>
              <w:t>.76</w:t>
            </w:r>
          </w:p>
        </w:tc>
      </w:tr>
      <w:tr w:rsidR="00B415D9" w:rsidRPr="00A850A0" w14:paraId="0DEB4704" w14:textId="77777777" w:rsidTr="00F866EA">
        <w:trPr>
          <w:trHeight w:val="299"/>
        </w:trPr>
        <w:tc>
          <w:tcPr>
            <w:tcW w:w="1959" w:type="dxa"/>
            <w:tcBorders>
              <w:top w:val="nil"/>
              <w:left w:val="nil"/>
              <w:bottom w:val="nil"/>
              <w:right w:val="nil"/>
            </w:tcBorders>
            <w:shd w:val="clear" w:color="auto" w:fill="auto"/>
            <w:noWrap/>
            <w:vAlign w:val="bottom"/>
            <w:hideMark/>
          </w:tcPr>
          <w:p w14:paraId="47801899" w14:textId="77777777" w:rsidR="00B415D9" w:rsidRPr="00A850A0" w:rsidRDefault="00B415D9" w:rsidP="00F866EA">
            <w:pPr>
              <w:spacing w:after="0" w:line="240" w:lineRule="auto"/>
              <w:jc w:val="left"/>
              <w:rPr>
                <w:color w:val="000000"/>
              </w:rPr>
            </w:pPr>
            <w:r w:rsidRPr="00A850A0">
              <w:rPr>
                <w:color w:val="000000"/>
              </w:rPr>
              <w:t>Czech Republic</w:t>
            </w:r>
          </w:p>
        </w:tc>
        <w:tc>
          <w:tcPr>
            <w:tcW w:w="1160" w:type="dxa"/>
            <w:tcBorders>
              <w:top w:val="nil"/>
              <w:left w:val="nil"/>
              <w:bottom w:val="nil"/>
              <w:right w:val="nil"/>
            </w:tcBorders>
            <w:shd w:val="clear" w:color="auto" w:fill="auto"/>
            <w:noWrap/>
            <w:vAlign w:val="bottom"/>
            <w:hideMark/>
          </w:tcPr>
          <w:p w14:paraId="183C6F9D" w14:textId="77777777" w:rsidR="00B415D9" w:rsidRPr="00A850A0" w:rsidRDefault="00B415D9" w:rsidP="00F866EA">
            <w:pPr>
              <w:spacing w:after="0" w:line="240" w:lineRule="auto"/>
              <w:rPr>
                <w:color w:val="000000"/>
              </w:rPr>
            </w:pPr>
            <w:r w:rsidRPr="00A850A0">
              <w:rPr>
                <w:color w:val="000000"/>
              </w:rPr>
              <w:t>.86</w:t>
            </w:r>
          </w:p>
        </w:tc>
        <w:tc>
          <w:tcPr>
            <w:tcW w:w="1160" w:type="dxa"/>
            <w:tcBorders>
              <w:top w:val="nil"/>
              <w:left w:val="nil"/>
              <w:bottom w:val="nil"/>
              <w:right w:val="nil"/>
            </w:tcBorders>
            <w:shd w:val="clear" w:color="auto" w:fill="auto"/>
            <w:noWrap/>
            <w:vAlign w:val="bottom"/>
            <w:hideMark/>
          </w:tcPr>
          <w:p w14:paraId="61929F31" w14:textId="77777777" w:rsidR="00B415D9" w:rsidRPr="00A850A0" w:rsidRDefault="00B415D9" w:rsidP="00F866EA">
            <w:pPr>
              <w:spacing w:after="0" w:line="240" w:lineRule="auto"/>
              <w:rPr>
                <w:color w:val="000000"/>
              </w:rPr>
            </w:pPr>
            <w:r w:rsidRPr="00A850A0">
              <w:rPr>
                <w:color w:val="000000"/>
              </w:rPr>
              <w:t>.27</w:t>
            </w:r>
          </w:p>
        </w:tc>
        <w:tc>
          <w:tcPr>
            <w:tcW w:w="1160" w:type="dxa"/>
            <w:tcBorders>
              <w:top w:val="nil"/>
              <w:left w:val="nil"/>
              <w:bottom w:val="nil"/>
              <w:right w:val="nil"/>
            </w:tcBorders>
            <w:shd w:val="clear" w:color="auto" w:fill="auto"/>
            <w:noWrap/>
            <w:vAlign w:val="bottom"/>
            <w:hideMark/>
          </w:tcPr>
          <w:p w14:paraId="50F20DBD"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7105FDEC" w14:textId="77777777" w:rsidR="00B415D9" w:rsidRPr="00A850A0" w:rsidRDefault="00B415D9" w:rsidP="00F866EA">
            <w:pPr>
              <w:spacing w:after="0" w:line="240" w:lineRule="auto"/>
              <w:rPr>
                <w:color w:val="000000"/>
              </w:rPr>
            </w:pPr>
            <w:r w:rsidRPr="00A850A0">
              <w:rPr>
                <w:color w:val="000000"/>
              </w:rPr>
              <w:t>.74</w:t>
            </w:r>
          </w:p>
        </w:tc>
      </w:tr>
      <w:tr w:rsidR="00B415D9" w:rsidRPr="00A850A0" w14:paraId="4AA72E22" w14:textId="77777777" w:rsidTr="00F866EA">
        <w:trPr>
          <w:trHeight w:val="299"/>
        </w:trPr>
        <w:tc>
          <w:tcPr>
            <w:tcW w:w="1959" w:type="dxa"/>
            <w:tcBorders>
              <w:top w:val="nil"/>
              <w:left w:val="nil"/>
              <w:bottom w:val="nil"/>
              <w:right w:val="nil"/>
            </w:tcBorders>
            <w:shd w:val="clear" w:color="auto" w:fill="auto"/>
            <w:noWrap/>
            <w:vAlign w:val="bottom"/>
            <w:hideMark/>
          </w:tcPr>
          <w:p w14:paraId="161016BC" w14:textId="77777777" w:rsidR="00B415D9" w:rsidRPr="00A850A0" w:rsidRDefault="00B415D9" w:rsidP="00F866EA">
            <w:pPr>
              <w:spacing w:after="0" w:line="240" w:lineRule="auto"/>
              <w:jc w:val="left"/>
              <w:rPr>
                <w:color w:val="000000"/>
              </w:rPr>
            </w:pPr>
            <w:r w:rsidRPr="00A850A0">
              <w:rPr>
                <w:color w:val="000000"/>
              </w:rPr>
              <w:t>Macedonia</w:t>
            </w:r>
          </w:p>
        </w:tc>
        <w:tc>
          <w:tcPr>
            <w:tcW w:w="1160" w:type="dxa"/>
            <w:tcBorders>
              <w:top w:val="nil"/>
              <w:left w:val="nil"/>
              <w:bottom w:val="nil"/>
              <w:right w:val="nil"/>
            </w:tcBorders>
            <w:shd w:val="clear" w:color="auto" w:fill="auto"/>
            <w:noWrap/>
            <w:vAlign w:val="bottom"/>
            <w:hideMark/>
          </w:tcPr>
          <w:p w14:paraId="0244D935" w14:textId="77777777" w:rsidR="00B415D9" w:rsidRPr="00A850A0" w:rsidRDefault="00B415D9" w:rsidP="00F866EA">
            <w:pPr>
              <w:spacing w:after="0" w:line="240" w:lineRule="auto"/>
              <w:rPr>
                <w:color w:val="000000"/>
              </w:rPr>
            </w:pPr>
            <w:r w:rsidRPr="00A850A0">
              <w:rPr>
                <w:color w:val="000000"/>
              </w:rPr>
              <w:t>.86</w:t>
            </w:r>
          </w:p>
        </w:tc>
        <w:tc>
          <w:tcPr>
            <w:tcW w:w="1160" w:type="dxa"/>
            <w:tcBorders>
              <w:top w:val="nil"/>
              <w:left w:val="nil"/>
              <w:bottom w:val="nil"/>
              <w:right w:val="nil"/>
            </w:tcBorders>
            <w:shd w:val="clear" w:color="auto" w:fill="auto"/>
            <w:noWrap/>
            <w:vAlign w:val="bottom"/>
            <w:hideMark/>
          </w:tcPr>
          <w:p w14:paraId="264D6E7E" w14:textId="77777777" w:rsidR="00B415D9" w:rsidRPr="00A850A0" w:rsidRDefault="00B415D9" w:rsidP="00F866EA">
            <w:pPr>
              <w:spacing w:after="0" w:line="240" w:lineRule="auto"/>
              <w:rPr>
                <w:color w:val="000000"/>
              </w:rPr>
            </w:pPr>
            <w:r w:rsidRPr="00A850A0">
              <w:rPr>
                <w:color w:val="000000"/>
              </w:rPr>
              <w:t>.22</w:t>
            </w:r>
          </w:p>
        </w:tc>
        <w:tc>
          <w:tcPr>
            <w:tcW w:w="1160" w:type="dxa"/>
            <w:tcBorders>
              <w:top w:val="nil"/>
              <w:left w:val="nil"/>
              <w:bottom w:val="nil"/>
              <w:right w:val="nil"/>
            </w:tcBorders>
            <w:shd w:val="clear" w:color="auto" w:fill="auto"/>
            <w:noWrap/>
            <w:vAlign w:val="bottom"/>
            <w:hideMark/>
          </w:tcPr>
          <w:p w14:paraId="0394A003" w14:textId="77777777" w:rsidR="00B415D9" w:rsidRPr="00A850A0" w:rsidRDefault="00B415D9" w:rsidP="00F866EA">
            <w:pPr>
              <w:spacing w:after="0" w:line="240" w:lineRule="auto"/>
              <w:rPr>
                <w:color w:val="000000"/>
              </w:rPr>
            </w:pPr>
            <w:r w:rsidRPr="00A850A0">
              <w:rPr>
                <w:color w:val="000000"/>
              </w:rPr>
              <w:t>.06</w:t>
            </w:r>
          </w:p>
        </w:tc>
        <w:tc>
          <w:tcPr>
            <w:tcW w:w="1163" w:type="dxa"/>
            <w:tcBorders>
              <w:top w:val="nil"/>
              <w:left w:val="nil"/>
              <w:bottom w:val="nil"/>
              <w:right w:val="nil"/>
            </w:tcBorders>
            <w:shd w:val="clear" w:color="auto" w:fill="auto"/>
            <w:noWrap/>
            <w:vAlign w:val="bottom"/>
            <w:hideMark/>
          </w:tcPr>
          <w:p w14:paraId="77CB3B19" w14:textId="77777777" w:rsidR="00B415D9" w:rsidRPr="00A850A0" w:rsidRDefault="00B415D9" w:rsidP="00F866EA">
            <w:pPr>
              <w:spacing w:after="0" w:line="240" w:lineRule="auto"/>
              <w:rPr>
                <w:color w:val="000000"/>
              </w:rPr>
            </w:pPr>
            <w:r w:rsidRPr="00A850A0">
              <w:rPr>
                <w:color w:val="000000"/>
              </w:rPr>
              <w:t>.74</w:t>
            </w:r>
          </w:p>
        </w:tc>
      </w:tr>
      <w:tr w:rsidR="00B415D9" w:rsidRPr="00A850A0" w14:paraId="443209DD" w14:textId="77777777" w:rsidTr="00F866EA">
        <w:trPr>
          <w:trHeight w:val="299"/>
        </w:trPr>
        <w:tc>
          <w:tcPr>
            <w:tcW w:w="1959" w:type="dxa"/>
            <w:tcBorders>
              <w:top w:val="nil"/>
              <w:left w:val="nil"/>
              <w:bottom w:val="nil"/>
              <w:right w:val="nil"/>
            </w:tcBorders>
            <w:shd w:val="clear" w:color="auto" w:fill="auto"/>
            <w:noWrap/>
            <w:vAlign w:val="bottom"/>
            <w:hideMark/>
          </w:tcPr>
          <w:p w14:paraId="0AA1B887" w14:textId="77777777" w:rsidR="00B415D9" w:rsidRPr="00A850A0" w:rsidRDefault="00B415D9" w:rsidP="00F866EA">
            <w:pPr>
              <w:spacing w:after="0" w:line="240" w:lineRule="auto"/>
              <w:jc w:val="left"/>
              <w:rPr>
                <w:color w:val="000000"/>
              </w:rPr>
            </w:pPr>
            <w:r w:rsidRPr="00A850A0">
              <w:rPr>
                <w:color w:val="000000"/>
              </w:rPr>
              <w:t>Latvia</w:t>
            </w:r>
          </w:p>
        </w:tc>
        <w:tc>
          <w:tcPr>
            <w:tcW w:w="1160" w:type="dxa"/>
            <w:tcBorders>
              <w:top w:val="nil"/>
              <w:left w:val="nil"/>
              <w:bottom w:val="nil"/>
              <w:right w:val="nil"/>
            </w:tcBorders>
            <w:shd w:val="clear" w:color="auto" w:fill="auto"/>
            <w:noWrap/>
            <w:vAlign w:val="bottom"/>
            <w:hideMark/>
          </w:tcPr>
          <w:p w14:paraId="7930D547" w14:textId="77777777" w:rsidR="00B415D9" w:rsidRPr="00A850A0" w:rsidRDefault="00B415D9" w:rsidP="00F866EA">
            <w:pPr>
              <w:spacing w:after="0" w:line="240" w:lineRule="auto"/>
              <w:rPr>
                <w:color w:val="000000"/>
              </w:rPr>
            </w:pPr>
            <w:r w:rsidRPr="00A850A0">
              <w:rPr>
                <w:color w:val="000000"/>
              </w:rPr>
              <w:t>.85</w:t>
            </w:r>
          </w:p>
        </w:tc>
        <w:tc>
          <w:tcPr>
            <w:tcW w:w="1160" w:type="dxa"/>
            <w:tcBorders>
              <w:top w:val="nil"/>
              <w:left w:val="nil"/>
              <w:bottom w:val="nil"/>
              <w:right w:val="nil"/>
            </w:tcBorders>
            <w:shd w:val="clear" w:color="auto" w:fill="auto"/>
            <w:noWrap/>
            <w:vAlign w:val="bottom"/>
            <w:hideMark/>
          </w:tcPr>
          <w:p w14:paraId="6172F482" w14:textId="77777777" w:rsidR="00B415D9" w:rsidRPr="00A850A0" w:rsidRDefault="00B415D9" w:rsidP="00F866EA">
            <w:pPr>
              <w:spacing w:after="0" w:line="240" w:lineRule="auto"/>
              <w:rPr>
                <w:color w:val="000000"/>
              </w:rPr>
            </w:pPr>
            <w:r w:rsidRPr="00A850A0">
              <w:rPr>
                <w:color w:val="000000"/>
              </w:rPr>
              <w:t>.19</w:t>
            </w:r>
          </w:p>
        </w:tc>
        <w:tc>
          <w:tcPr>
            <w:tcW w:w="1160" w:type="dxa"/>
            <w:tcBorders>
              <w:top w:val="nil"/>
              <w:left w:val="nil"/>
              <w:bottom w:val="nil"/>
              <w:right w:val="nil"/>
            </w:tcBorders>
            <w:shd w:val="clear" w:color="auto" w:fill="auto"/>
            <w:noWrap/>
            <w:vAlign w:val="bottom"/>
            <w:hideMark/>
          </w:tcPr>
          <w:p w14:paraId="121B18D7"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34949C04" w14:textId="77777777" w:rsidR="00B415D9" w:rsidRPr="00A850A0" w:rsidRDefault="00B415D9" w:rsidP="00F866EA">
            <w:pPr>
              <w:spacing w:after="0" w:line="240" w:lineRule="auto"/>
              <w:rPr>
                <w:color w:val="000000"/>
              </w:rPr>
            </w:pPr>
            <w:r w:rsidRPr="00A850A0">
              <w:rPr>
                <w:color w:val="000000"/>
              </w:rPr>
              <w:t>.73</w:t>
            </w:r>
          </w:p>
        </w:tc>
      </w:tr>
      <w:tr w:rsidR="00B415D9" w:rsidRPr="00A850A0" w14:paraId="6F7D0E0B" w14:textId="77777777" w:rsidTr="00F866EA">
        <w:trPr>
          <w:trHeight w:val="299"/>
        </w:trPr>
        <w:tc>
          <w:tcPr>
            <w:tcW w:w="1959" w:type="dxa"/>
            <w:tcBorders>
              <w:top w:val="nil"/>
              <w:left w:val="nil"/>
              <w:bottom w:val="nil"/>
              <w:right w:val="nil"/>
            </w:tcBorders>
            <w:shd w:val="clear" w:color="auto" w:fill="auto"/>
            <w:noWrap/>
            <w:vAlign w:val="bottom"/>
            <w:hideMark/>
          </w:tcPr>
          <w:p w14:paraId="4EB136E8" w14:textId="77777777" w:rsidR="00B415D9" w:rsidRPr="00A850A0" w:rsidRDefault="00B415D9" w:rsidP="00F866EA">
            <w:pPr>
              <w:spacing w:after="0" w:line="240" w:lineRule="auto"/>
              <w:jc w:val="left"/>
              <w:rPr>
                <w:color w:val="000000"/>
              </w:rPr>
            </w:pPr>
            <w:r w:rsidRPr="00A850A0">
              <w:rPr>
                <w:color w:val="000000"/>
              </w:rPr>
              <w:t>Turkey</w:t>
            </w:r>
          </w:p>
        </w:tc>
        <w:tc>
          <w:tcPr>
            <w:tcW w:w="1160" w:type="dxa"/>
            <w:tcBorders>
              <w:top w:val="nil"/>
              <w:left w:val="nil"/>
              <w:bottom w:val="nil"/>
              <w:right w:val="nil"/>
            </w:tcBorders>
            <w:shd w:val="clear" w:color="auto" w:fill="auto"/>
            <w:noWrap/>
            <w:vAlign w:val="bottom"/>
            <w:hideMark/>
          </w:tcPr>
          <w:p w14:paraId="7F943107" w14:textId="77777777" w:rsidR="00B415D9" w:rsidRPr="00A850A0" w:rsidRDefault="00B415D9" w:rsidP="00F866EA">
            <w:pPr>
              <w:spacing w:after="0" w:line="240" w:lineRule="auto"/>
              <w:rPr>
                <w:color w:val="000000"/>
              </w:rPr>
            </w:pPr>
            <w:r w:rsidRPr="00A850A0">
              <w:rPr>
                <w:color w:val="000000"/>
              </w:rPr>
              <w:t>.85</w:t>
            </w:r>
          </w:p>
        </w:tc>
        <w:tc>
          <w:tcPr>
            <w:tcW w:w="1160" w:type="dxa"/>
            <w:tcBorders>
              <w:top w:val="nil"/>
              <w:left w:val="nil"/>
              <w:bottom w:val="nil"/>
              <w:right w:val="nil"/>
            </w:tcBorders>
            <w:shd w:val="clear" w:color="auto" w:fill="auto"/>
            <w:noWrap/>
            <w:vAlign w:val="bottom"/>
            <w:hideMark/>
          </w:tcPr>
          <w:p w14:paraId="7329D612" w14:textId="77777777" w:rsidR="00B415D9" w:rsidRPr="00A850A0" w:rsidRDefault="00B415D9" w:rsidP="00F866EA">
            <w:pPr>
              <w:spacing w:after="0" w:line="240" w:lineRule="auto"/>
              <w:rPr>
                <w:color w:val="000000"/>
              </w:rPr>
            </w:pPr>
            <w:r w:rsidRPr="00A850A0">
              <w:rPr>
                <w:color w:val="000000"/>
              </w:rPr>
              <w:t>.27</w:t>
            </w:r>
          </w:p>
        </w:tc>
        <w:tc>
          <w:tcPr>
            <w:tcW w:w="1160" w:type="dxa"/>
            <w:tcBorders>
              <w:top w:val="nil"/>
              <w:left w:val="nil"/>
              <w:bottom w:val="nil"/>
              <w:right w:val="nil"/>
            </w:tcBorders>
            <w:shd w:val="clear" w:color="auto" w:fill="auto"/>
            <w:noWrap/>
            <w:vAlign w:val="bottom"/>
            <w:hideMark/>
          </w:tcPr>
          <w:p w14:paraId="27066C8C"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3C7F0203" w14:textId="77777777" w:rsidR="00B415D9" w:rsidRPr="00A850A0" w:rsidRDefault="00B415D9" w:rsidP="00F866EA">
            <w:pPr>
              <w:spacing w:after="0" w:line="240" w:lineRule="auto"/>
              <w:rPr>
                <w:color w:val="000000"/>
              </w:rPr>
            </w:pPr>
            <w:r w:rsidRPr="00A850A0">
              <w:rPr>
                <w:color w:val="000000"/>
              </w:rPr>
              <w:t>.73</w:t>
            </w:r>
          </w:p>
        </w:tc>
      </w:tr>
      <w:tr w:rsidR="00B415D9" w:rsidRPr="00A850A0" w14:paraId="19A43BAF" w14:textId="77777777" w:rsidTr="00F866EA">
        <w:trPr>
          <w:trHeight w:val="299"/>
        </w:trPr>
        <w:tc>
          <w:tcPr>
            <w:tcW w:w="1959" w:type="dxa"/>
            <w:tcBorders>
              <w:top w:val="nil"/>
              <w:left w:val="nil"/>
              <w:bottom w:val="nil"/>
              <w:right w:val="nil"/>
            </w:tcBorders>
            <w:shd w:val="clear" w:color="auto" w:fill="auto"/>
            <w:noWrap/>
            <w:vAlign w:val="bottom"/>
            <w:hideMark/>
          </w:tcPr>
          <w:p w14:paraId="2B90BDD9" w14:textId="77777777" w:rsidR="00B415D9" w:rsidRPr="00A850A0" w:rsidRDefault="00B415D9" w:rsidP="00F866EA">
            <w:pPr>
              <w:spacing w:after="0" w:line="240" w:lineRule="auto"/>
              <w:jc w:val="left"/>
              <w:rPr>
                <w:color w:val="000000"/>
              </w:rPr>
            </w:pPr>
            <w:r w:rsidRPr="00A850A0">
              <w:rPr>
                <w:color w:val="000000"/>
              </w:rPr>
              <w:t>Slovakia</w:t>
            </w:r>
          </w:p>
        </w:tc>
        <w:tc>
          <w:tcPr>
            <w:tcW w:w="1160" w:type="dxa"/>
            <w:tcBorders>
              <w:top w:val="nil"/>
              <w:left w:val="nil"/>
              <w:bottom w:val="nil"/>
              <w:right w:val="nil"/>
            </w:tcBorders>
            <w:shd w:val="clear" w:color="auto" w:fill="auto"/>
            <w:noWrap/>
            <w:vAlign w:val="bottom"/>
            <w:hideMark/>
          </w:tcPr>
          <w:p w14:paraId="6ACFFF6D" w14:textId="77777777" w:rsidR="00B415D9" w:rsidRPr="00A850A0" w:rsidRDefault="00B415D9" w:rsidP="00F866EA">
            <w:pPr>
              <w:spacing w:after="0" w:line="240" w:lineRule="auto"/>
              <w:rPr>
                <w:color w:val="000000"/>
              </w:rPr>
            </w:pPr>
            <w:r w:rsidRPr="00A850A0">
              <w:rPr>
                <w:color w:val="000000"/>
              </w:rPr>
              <w:t>.85</w:t>
            </w:r>
          </w:p>
        </w:tc>
        <w:tc>
          <w:tcPr>
            <w:tcW w:w="1160" w:type="dxa"/>
            <w:tcBorders>
              <w:top w:val="nil"/>
              <w:left w:val="nil"/>
              <w:bottom w:val="nil"/>
              <w:right w:val="nil"/>
            </w:tcBorders>
            <w:shd w:val="clear" w:color="auto" w:fill="auto"/>
            <w:noWrap/>
            <w:vAlign w:val="bottom"/>
            <w:hideMark/>
          </w:tcPr>
          <w:p w14:paraId="4886F162" w14:textId="77777777" w:rsidR="00B415D9" w:rsidRPr="00A850A0" w:rsidRDefault="00B415D9" w:rsidP="00F866EA">
            <w:pPr>
              <w:spacing w:after="0" w:line="240" w:lineRule="auto"/>
              <w:rPr>
                <w:color w:val="000000"/>
              </w:rPr>
            </w:pPr>
            <w:r w:rsidRPr="00A850A0">
              <w:rPr>
                <w:color w:val="000000"/>
              </w:rPr>
              <w:t>.40</w:t>
            </w:r>
          </w:p>
        </w:tc>
        <w:tc>
          <w:tcPr>
            <w:tcW w:w="1160" w:type="dxa"/>
            <w:tcBorders>
              <w:top w:val="nil"/>
              <w:left w:val="nil"/>
              <w:bottom w:val="nil"/>
              <w:right w:val="nil"/>
            </w:tcBorders>
            <w:shd w:val="clear" w:color="auto" w:fill="auto"/>
            <w:noWrap/>
            <w:vAlign w:val="bottom"/>
            <w:hideMark/>
          </w:tcPr>
          <w:p w14:paraId="7BE70EF2" w14:textId="77777777" w:rsidR="00B415D9" w:rsidRPr="00A850A0" w:rsidRDefault="00B415D9" w:rsidP="00F866EA">
            <w:pPr>
              <w:spacing w:after="0" w:line="240" w:lineRule="auto"/>
              <w:rPr>
                <w:color w:val="000000"/>
              </w:rPr>
            </w:pPr>
            <w:r w:rsidRPr="00A850A0">
              <w:rPr>
                <w:color w:val="000000"/>
              </w:rPr>
              <w:t>.05</w:t>
            </w:r>
          </w:p>
        </w:tc>
        <w:tc>
          <w:tcPr>
            <w:tcW w:w="1163" w:type="dxa"/>
            <w:tcBorders>
              <w:top w:val="nil"/>
              <w:left w:val="nil"/>
              <w:bottom w:val="nil"/>
              <w:right w:val="nil"/>
            </w:tcBorders>
            <w:shd w:val="clear" w:color="auto" w:fill="auto"/>
            <w:noWrap/>
            <w:vAlign w:val="bottom"/>
            <w:hideMark/>
          </w:tcPr>
          <w:p w14:paraId="6A354BA7" w14:textId="77777777" w:rsidR="00B415D9" w:rsidRPr="00A850A0" w:rsidRDefault="00B415D9" w:rsidP="00F866EA">
            <w:pPr>
              <w:spacing w:after="0" w:line="240" w:lineRule="auto"/>
              <w:rPr>
                <w:color w:val="000000"/>
              </w:rPr>
            </w:pPr>
            <w:r w:rsidRPr="00A850A0">
              <w:rPr>
                <w:color w:val="000000"/>
              </w:rPr>
              <w:t>.72</w:t>
            </w:r>
          </w:p>
        </w:tc>
      </w:tr>
      <w:tr w:rsidR="00B415D9" w:rsidRPr="00A850A0" w14:paraId="437AD5E3" w14:textId="77777777" w:rsidTr="00F866EA">
        <w:trPr>
          <w:trHeight w:val="299"/>
        </w:trPr>
        <w:tc>
          <w:tcPr>
            <w:tcW w:w="1959" w:type="dxa"/>
            <w:tcBorders>
              <w:top w:val="nil"/>
              <w:left w:val="nil"/>
              <w:bottom w:val="nil"/>
              <w:right w:val="nil"/>
            </w:tcBorders>
            <w:shd w:val="clear" w:color="auto" w:fill="auto"/>
            <w:noWrap/>
            <w:vAlign w:val="bottom"/>
            <w:hideMark/>
          </w:tcPr>
          <w:p w14:paraId="4C925F45" w14:textId="77777777" w:rsidR="00B415D9" w:rsidRPr="00A850A0" w:rsidRDefault="00B415D9" w:rsidP="00F866EA">
            <w:pPr>
              <w:spacing w:after="0" w:line="240" w:lineRule="auto"/>
              <w:jc w:val="left"/>
              <w:rPr>
                <w:color w:val="000000"/>
              </w:rPr>
            </w:pPr>
            <w:r w:rsidRPr="00A850A0">
              <w:rPr>
                <w:color w:val="000000"/>
              </w:rPr>
              <w:t>Thailand</w:t>
            </w:r>
          </w:p>
        </w:tc>
        <w:tc>
          <w:tcPr>
            <w:tcW w:w="1160" w:type="dxa"/>
            <w:tcBorders>
              <w:top w:val="nil"/>
              <w:left w:val="nil"/>
              <w:bottom w:val="nil"/>
              <w:right w:val="nil"/>
            </w:tcBorders>
            <w:shd w:val="clear" w:color="auto" w:fill="auto"/>
            <w:noWrap/>
            <w:vAlign w:val="bottom"/>
            <w:hideMark/>
          </w:tcPr>
          <w:p w14:paraId="265DCAD6" w14:textId="77777777" w:rsidR="00B415D9" w:rsidRPr="00A850A0" w:rsidRDefault="00B415D9" w:rsidP="00F866EA">
            <w:pPr>
              <w:spacing w:after="0" w:line="240" w:lineRule="auto"/>
              <w:rPr>
                <w:color w:val="000000"/>
              </w:rPr>
            </w:pPr>
            <w:r w:rsidRPr="00A850A0">
              <w:rPr>
                <w:color w:val="000000"/>
              </w:rPr>
              <w:t>.85</w:t>
            </w:r>
          </w:p>
        </w:tc>
        <w:tc>
          <w:tcPr>
            <w:tcW w:w="1160" w:type="dxa"/>
            <w:tcBorders>
              <w:top w:val="nil"/>
              <w:left w:val="nil"/>
              <w:bottom w:val="nil"/>
              <w:right w:val="nil"/>
            </w:tcBorders>
            <w:shd w:val="clear" w:color="auto" w:fill="auto"/>
            <w:noWrap/>
            <w:vAlign w:val="bottom"/>
            <w:hideMark/>
          </w:tcPr>
          <w:p w14:paraId="773B3560" w14:textId="77777777" w:rsidR="00B415D9" w:rsidRPr="00A850A0" w:rsidRDefault="00B415D9" w:rsidP="00F866EA">
            <w:pPr>
              <w:spacing w:after="0" w:line="240" w:lineRule="auto"/>
              <w:rPr>
                <w:color w:val="000000"/>
              </w:rPr>
            </w:pPr>
            <w:r w:rsidRPr="00A850A0">
              <w:rPr>
                <w:color w:val="000000"/>
              </w:rPr>
              <w:t>.27</w:t>
            </w:r>
          </w:p>
        </w:tc>
        <w:tc>
          <w:tcPr>
            <w:tcW w:w="1160" w:type="dxa"/>
            <w:tcBorders>
              <w:top w:val="nil"/>
              <w:left w:val="nil"/>
              <w:bottom w:val="nil"/>
              <w:right w:val="nil"/>
            </w:tcBorders>
            <w:shd w:val="clear" w:color="auto" w:fill="auto"/>
            <w:noWrap/>
            <w:vAlign w:val="bottom"/>
            <w:hideMark/>
          </w:tcPr>
          <w:p w14:paraId="357BA893"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63FEDD40" w14:textId="77777777" w:rsidR="00B415D9" w:rsidRPr="00A850A0" w:rsidRDefault="00B415D9" w:rsidP="00F866EA">
            <w:pPr>
              <w:spacing w:after="0" w:line="240" w:lineRule="auto"/>
              <w:rPr>
                <w:color w:val="000000"/>
              </w:rPr>
            </w:pPr>
            <w:r w:rsidRPr="00A850A0">
              <w:rPr>
                <w:color w:val="000000"/>
              </w:rPr>
              <w:t>.72</w:t>
            </w:r>
          </w:p>
        </w:tc>
      </w:tr>
      <w:tr w:rsidR="00B415D9" w:rsidRPr="00A850A0" w14:paraId="5B075DCB" w14:textId="77777777" w:rsidTr="00F866EA">
        <w:trPr>
          <w:trHeight w:val="299"/>
        </w:trPr>
        <w:tc>
          <w:tcPr>
            <w:tcW w:w="1959" w:type="dxa"/>
            <w:tcBorders>
              <w:top w:val="nil"/>
              <w:left w:val="nil"/>
              <w:bottom w:val="nil"/>
              <w:right w:val="nil"/>
            </w:tcBorders>
            <w:shd w:val="clear" w:color="auto" w:fill="auto"/>
            <w:noWrap/>
            <w:vAlign w:val="bottom"/>
            <w:hideMark/>
          </w:tcPr>
          <w:p w14:paraId="5A6C460C" w14:textId="77777777" w:rsidR="00B415D9" w:rsidRPr="00A850A0" w:rsidRDefault="00B415D9" w:rsidP="00F866EA">
            <w:pPr>
              <w:spacing w:after="0" w:line="240" w:lineRule="auto"/>
              <w:jc w:val="left"/>
              <w:rPr>
                <w:color w:val="000000"/>
              </w:rPr>
            </w:pPr>
            <w:r w:rsidRPr="00A850A0">
              <w:rPr>
                <w:color w:val="000000"/>
              </w:rPr>
              <w:t>Jordan</w:t>
            </w:r>
          </w:p>
        </w:tc>
        <w:tc>
          <w:tcPr>
            <w:tcW w:w="1160" w:type="dxa"/>
            <w:tcBorders>
              <w:top w:val="nil"/>
              <w:left w:val="nil"/>
              <w:bottom w:val="nil"/>
              <w:right w:val="nil"/>
            </w:tcBorders>
            <w:shd w:val="clear" w:color="auto" w:fill="auto"/>
            <w:noWrap/>
            <w:vAlign w:val="bottom"/>
            <w:hideMark/>
          </w:tcPr>
          <w:p w14:paraId="06C8195F" w14:textId="77777777" w:rsidR="00B415D9" w:rsidRPr="00A850A0" w:rsidRDefault="00B415D9" w:rsidP="00F866EA">
            <w:pPr>
              <w:spacing w:after="0" w:line="240" w:lineRule="auto"/>
              <w:rPr>
                <w:color w:val="000000"/>
              </w:rPr>
            </w:pPr>
            <w:r w:rsidRPr="00A850A0">
              <w:rPr>
                <w:color w:val="000000"/>
              </w:rPr>
              <w:t>.85</w:t>
            </w:r>
          </w:p>
        </w:tc>
        <w:tc>
          <w:tcPr>
            <w:tcW w:w="1160" w:type="dxa"/>
            <w:tcBorders>
              <w:top w:val="nil"/>
              <w:left w:val="nil"/>
              <w:bottom w:val="nil"/>
              <w:right w:val="nil"/>
            </w:tcBorders>
            <w:shd w:val="clear" w:color="auto" w:fill="auto"/>
            <w:noWrap/>
            <w:vAlign w:val="bottom"/>
            <w:hideMark/>
          </w:tcPr>
          <w:p w14:paraId="45821147" w14:textId="77777777" w:rsidR="00B415D9" w:rsidRPr="00A850A0" w:rsidRDefault="00B415D9" w:rsidP="00F866EA">
            <w:pPr>
              <w:spacing w:after="0" w:line="240" w:lineRule="auto"/>
              <w:rPr>
                <w:color w:val="000000"/>
              </w:rPr>
            </w:pPr>
            <w:r w:rsidRPr="00A850A0">
              <w:rPr>
                <w:color w:val="000000"/>
              </w:rPr>
              <w:t>.42</w:t>
            </w:r>
          </w:p>
        </w:tc>
        <w:tc>
          <w:tcPr>
            <w:tcW w:w="1160" w:type="dxa"/>
            <w:tcBorders>
              <w:top w:val="nil"/>
              <w:left w:val="nil"/>
              <w:bottom w:val="nil"/>
              <w:right w:val="nil"/>
            </w:tcBorders>
            <w:shd w:val="clear" w:color="auto" w:fill="auto"/>
            <w:noWrap/>
            <w:vAlign w:val="bottom"/>
            <w:hideMark/>
          </w:tcPr>
          <w:p w14:paraId="29DD9A60" w14:textId="77777777" w:rsidR="00B415D9" w:rsidRPr="00A850A0" w:rsidRDefault="00B415D9" w:rsidP="00F866EA">
            <w:pPr>
              <w:spacing w:after="0" w:line="240" w:lineRule="auto"/>
              <w:rPr>
                <w:color w:val="000000"/>
              </w:rPr>
            </w:pPr>
            <w:r w:rsidRPr="00A850A0">
              <w:rPr>
                <w:color w:val="000000"/>
              </w:rPr>
              <w:t>.05</w:t>
            </w:r>
          </w:p>
        </w:tc>
        <w:tc>
          <w:tcPr>
            <w:tcW w:w="1163" w:type="dxa"/>
            <w:tcBorders>
              <w:top w:val="nil"/>
              <w:left w:val="nil"/>
              <w:bottom w:val="nil"/>
              <w:right w:val="nil"/>
            </w:tcBorders>
            <w:shd w:val="clear" w:color="auto" w:fill="auto"/>
            <w:noWrap/>
            <w:vAlign w:val="bottom"/>
            <w:hideMark/>
          </w:tcPr>
          <w:p w14:paraId="35781697" w14:textId="77777777" w:rsidR="00B415D9" w:rsidRPr="00A850A0" w:rsidRDefault="00B415D9" w:rsidP="00F866EA">
            <w:pPr>
              <w:spacing w:after="0" w:line="240" w:lineRule="auto"/>
              <w:rPr>
                <w:color w:val="000000"/>
              </w:rPr>
            </w:pPr>
            <w:r w:rsidRPr="00A850A0">
              <w:rPr>
                <w:color w:val="000000"/>
              </w:rPr>
              <w:t>.72</w:t>
            </w:r>
          </w:p>
        </w:tc>
      </w:tr>
      <w:tr w:rsidR="00B415D9" w:rsidRPr="00A850A0" w14:paraId="13FEFA2E" w14:textId="77777777" w:rsidTr="00F866EA">
        <w:trPr>
          <w:trHeight w:val="299"/>
        </w:trPr>
        <w:tc>
          <w:tcPr>
            <w:tcW w:w="1959" w:type="dxa"/>
            <w:tcBorders>
              <w:top w:val="nil"/>
              <w:left w:val="nil"/>
              <w:bottom w:val="nil"/>
              <w:right w:val="nil"/>
            </w:tcBorders>
            <w:shd w:val="clear" w:color="auto" w:fill="auto"/>
            <w:noWrap/>
            <w:vAlign w:val="bottom"/>
            <w:hideMark/>
          </w:tcPr>
          <w:p w14:paraId="44A624C4" w14:textId="77777777" w:rsidR="00B415D9" w:rsidRPr="00A850A0" w:rsidRDefault="00B415D9" w:rsidP="00F866EA">
            <w:pPr>
              <w:spacing w:after="0" w:line="240" w:lineRule="auto"/>
              <w:jc w:val="left"/>
              <w:rPr>
                <w:color w:val="000000"/>
              </w:rPr>
            </w:pPr>
            <w:r w:rsidRPr="00A850A0">
              <w:rPr>
                <w:color w:val="000000"/>
              </w:rPr>
              <w:t>Switzerland</w:t>
            </w:r>
          </w:p>
        </w:tc>
        <w:tc>
          <w:tcPr>
            <w:tcW w:w="1160" w:type="dxa"/>
            <w:tcBorders>
              <w:top w:val="nil"/>
              <w:left w:val="nil"/>
              <w:bottom w:val="nil"/>
              <w:right w:val="nil"/>
            </w:tcBorders>
            <w:shd w:val="clear" w:color="auto" w:fill="auto"/>
            <w:noWrap/>
            <w:vAlign w:val="bottom"/>
            <w:hideMark/>
          </w:tcPr>
          <w:p w14:paraId="34DD3BE2" w14:textId="77777777" w:rsidR="00B415D9" w:rsidRPr="00A850A0" w:rsidRDefault="00B415D9" w:rsidP="00F866EA">
            <w:pPr>
              <w:spacing w:after="0" w:line="240" w:lineRule="auto"/>
              <w:rPr>
                <w:color w:val="000000"/>
              </w:rPr>
            </w:pPr>
            <w:r w:rsidRPr="00A850A0">
              <w:rPr>
                <w:color w:val="000000"/>
              </w:rPr>
              <w:t>.85</w:t>
            </w:r>
          </w:p>
        </w:tc>
        <w:tc>
          <w:tcPr>
            <w:tcW w:w="1160" w:type="dxa"/>
            <w:tcBorders>
              <w:top w:val="nil"/>
              <w:left w:val="nil"/>
              <w:bottom w:val="nil"/>
              <w:right w:val="nil"/>
            </w:tcBorders>
            <w:shd w:val="clear" w:color="auto" w:fill="auto"/>
            <w:noWrap/>
            <w:vAlign w:val="bottom"/>
            <w:hideMark/>
          </w:tcPr>
          <w:p w14:paraId="264F2E49" w14:textId="77777777" w:rsidR="00B415D9" w:rsidRPr="00A850A0" w:rsidRDefault="00B415D9" w:rsidP="00F866EA">
            <w:pPr>
              <w:spacing w:after="0" w:line="240" w:lineRule="auto"/>
              <w:rPr>
                <w:color w:val="000000"/>
              </w:rPr>
            </w:pPr>
            <w:r w:rsidRPr="00A850A0">
              <w:rPr>
                <w:color w:val="000000"/>
              </w:rPr>
              <w:t>.29</w:t>
            </w:r>
          </w:p>
        </w:tc>
        <w:tc>
          <w:tcPr>
            <w:tcW w:w="1160" w:type="dxa"/>
            <w:tcBorders>
              <w:top w:val="nil"/>
              <w:left w:val="nil"/>
              <w:bottom w:val="nil"/>
              <w:right w:val="nil"/>
            </w:tcBorders>
            <w:shd w:val="clear" w:color="auto" w:fill="auto"/>
            <w:noWrap/>
            <w:vAlign w:val="bottom"/>
            <w:hideMark/>
          </w:tcPr>
          <w:p w14:paraId="46AF708C" w14:textId="77777777" w:rsidR="00B415D9" w:rsidRPr="00A850A0" w:rsidRDefault="00B415D9" w:rsidP="00F866EA">
            <w:pPr>
              <w:spacing w:after="0" w:line="240" w:lineRule="auto"/>
              <w:rPr>
                <w:color w:val="000000"/>
              </w:rPr>
            </w:pPr>
            <w:r w:rsidRPr="00A850A0">
              <w:rPr>
                <w:color w:val="000000"/>
              </w:rPr>
              <w:t>.02</w:t>
            </w:r>
          </w:p>
        </w:tc>
        <w:tc>
          <w:tcPr>
            <w:tcW w:w="1163" w:type="dxa"/>
            <w:tcBorders>
              <w:top w:val="nil"/>
              <w:left w:val="nil"/>
              <w:bottom w:val="nil"/>
              <w:right w:val="nil"/>
            </w:tcBorders>
            <w:shd w:val="clear" w:color="auto" w:fill="auto"/>
            <w:noWrap/>
            <w:vAlign w:val="bottom"/>
            <w:hideMark/>
          </w:tcPr>
          <w:p w14:paraId="537D9661" w14:textId="77777777" w:rsidR="00B415D9" w:rsidRPr="00A850A0" w:rsidRDefault="00B415D9" w:rsidP="00F866EA">
            <w:pPr>
              <w:spacing w:after="0" w:line="240" w:lineRule="auto"/>
              <w:rPr>
                <w:color w:val="000000"/>
              </w:rPr>
            </w:pPr>
            <w:r w:rsidRPr="00A850A0">
              <w:rPr>
                <w:color w:val="000000"/>
              </w:rPr>
              <w:t>.72</w:t>
            </w:r>
          </w:p>
        </w:tc>
      </w:tr>
      <w:tr w:rsidR="00B415D9" w:rsidRPr="00A850A0" w14:paraId="2622B6F2" w14:textId="77777777" w:rsidTr="00F866EA">
        <w:trPr>
          <w:trHeight w:val="299"/>
        </w:trPr>
        <w:tc>
          <w:tcPr>
            <w:tcW w:w="1959" w:type="dxa"/>
            <w:tcBorders>
              <w:top w:val="nil"/>
              <w:left w:val="nil"/>
              <w:bottom w:val="nil"/>
              <w:right w:val="nil"/>
            </w:tcBorders>
            <w:shd w:val="clear" w:color="auto" w:fill="auto"/>
            <w:noWrap/>
            <w:vAlign w:val="bottom"/>
            <w:hideMark/>
          </w:tcPr>
          <w:p w14:paraId="37D0829D" w14:textId="77777777" w:rsidR="00B415D9" w:rsidRPr="00A850A0" w:rsidRDefault="00B415D9" w:rsidP="00F866EA">
            <w:pPr>
              <w:spacing w:after="0" w:line="240" w:lineRule="auto"/>
              <w:jc w:val="left"/>
              <w:rPr>
                <w:color w:val="000000"/>
              </w:rPr>
            </w:pPr>
            <w:r w:rsidRPr="00A850A0">
              <w:rPr>
                <w:color w:val="000000"/>
              </w:rPr>
              <w:t>Italy</w:t>
            </w:r>
          </w:p>
        </w:tc>
        <w:tc>
          <w:tcPr>
            <w:tcW w:w="1160" w:type="dxa"/>
            <w:tcBorders>
              <w:top w:val="nil"/>
              <w:left w:val="nil"/>
              <w:bottom w:val="nil"/>
              <w:right w:val="nil"/>
            </w:tcBorders>
            <w:shd w:val="clear" w:color="auto" w:fill="auto"/>
            <w:noWrap/>
            <w:vAlign w:val="bottom"/>
            <w:hideMark/>
          </w:tcPr>
          <w:p w14:paraId="552F9AF3" w14:textId="77777777" w:rsidR="00B415D9" w:rsidRPr="00A850A0" w:rsidRDefault="00B415D9" w:rsidP="00F866EA">
            <w:pPr>
              <w:spacing w:after="0" w:line="240" w:lineRule="auto"/>
              <w:rPr>
                <w:color w:val="000000"/>
              </w:rPr>
            </w:pPr>
            <w:r w:rsidRPr="00A850A0">
              <w:rPr>
                <w:color w:val="000000"/>
              </w:rPr>
              <w:t>.84</w:t>
            </w:r>
          </w:p>
        </w:tc>
        <w:tc>
          <w:tcPr>
            <w:tcW w:w="1160" w:type="dxa"/>
            <w:tcBorders>
              <w:top w:val="nil"/>
              <w:left w:val="nil"/>
              <w:bottom w:val="nil"/>
              <w:right w:val="nil"/>
            </w:tcBorders>
            <w:shd w:val="clear" w:color="auto" w:fill="auto"/>
            <w:noWrap/>
            <w:vAlign w:val="bottom"/>
            <w:hideMark/>
          </w:tcPr>
          <w:p w14:paraId="1E5834EB" w14:textId="77777777" w:rsidR="00B415D9" w:rsidRPr="00A850A0" w:rsidRDefault="00B415D9" w:rsidP="00F866EA">
            <w:pPr>
              <w:spacing w:after="0" w:line="240" w:lineRule="auto"/>
              <w:rPr>
                <w:color w:val="000000"/>
              </w:rPr>
            </w:pPr>
            <w:r w:rsidRPr="00A850A0">
              <w:rPr>
                <w:color w:val="000000"/>
              </w:rPr>
              <w:t>.34</w:t>
            </w:r>
          </w:p>
        </w:tc>
        <w:tc>
          <w:tcPr>
            <w:tcW w:w="1160" w:type="dxa"/>
            <w:tcBorders>
              <w:top w:val="nil"/>
              <w:left w:val="nil"/>
              <w:bottom w:val="nil"/>
              <w:right w:val="nil"/>
            </w:tcBorders>
            <w:shd w:val="clear" w:color="auto" w:fill="auto"/>
            <w:noWrap/>
            <w:vAlign w:val="bottom"/>
            <w:hideMark/>
          </w:tcPr>
          <w:p w14:paraId="38F2F0A4" w14:textId="77777777" w:rsidR="00B415D9" w:rsidRPr="00A850A0" w:rsidRDefault="00B415D9" w:rsidP="00F866EA">
            <w:pPr>
              <w:spacing w:after="0" w:line="240" w:lineRule="auto"/>
              <w:rPr>
                <w:color w:val="000000"/>
              </w:rPr>
            </w:pPr>
            <w:r w:rsidRPr="00A850A0">
              <w:rPr>
                <w:color w:val="000000"/>
              </w:rPr>
              <w:t>.02</w:t>
            </w:r>
          </w:p>
        </w:tc>
        <w:tc>
          <w:tcPr>
            <w:tcW w:w="1163" w:type="dxa"/>
            <w:tcBorders>
              <w:top w:val="nil"/>
              <w:left w:val="nil"/>
              <w:bottom w:val="nil"/>
              <w:right w:val="nil"/>
            </w:tcBorders>
            <w:shd w:val="clear" w:color="auto" w:fill="auto"/>
            <w:noWrap/>
            <w:vAlign w:val="bottom"/>
            <w:hideMark/>
          </w:tcPr>
          <w:p w14:paraId="5B06922D" w14:textId="77777777" w:rsidR="00B415D9" w:rsidRPr="00A850A0" w:rsidRDefault="00B415D9" w:rsidP="00F866EA">
            <w:pPr>
              <w:spacing w:after="0" w:line="240" w:lineRule="auto"/>
              <w:rPr>
                <w:color w:val="000000"/>
              </w:rPr>
            </w:pPr>
            <w:r w:rsidRPr="00A850A0">
              <w:rPr>
                <w:color w:val="000000"/>
              </w:rPr>
              <w:t>.71</w:t>
            </w:r>
          </w:p>
        </w:tc>
      </w:tr>
      <w:tr w:rsidR="00B415D9" w:rsidRPr="00A850A0" w14:paraId="395FC9B8" w14:textId="77777777" w:rsidTr="00F866EA">
        <w:trPr>
          <w:trHeight w:val="299"/>
        </w:trPr>
        <w:tc>
          <w:tcPr>
            <w:tcW w:w="1959" w:type="dxa"/>
            <w:tcBorders>
              <w:top w:val="nil"/>
              <w:left w:val="nil"/>
              <w:bottom w:val="nil"/>
              <w:right w:val="nil"/>
            </w:tcBorders>
            <w:shd w:val="clear" w:color="auto" w:fill="auto"/>
            <w:noWrap/>
            <w:vAlign w:val="bottom"/>
            <w:hideMark/>
          </w:tcPr>
          <w:p w14:paraId="1CD1194A" w14:textId="77777777" w:rsidR="00B415D9" w:rsidRPr="00A850A0" w:rsidRDefault="00B415D9" w:rsidP="00F866EA">
            <w:pPr>
              <w:spacing w:after="0" w:line="240" w:lineRule="auto"/>
              <w:jc w:val="left"/>
              <w:rPr>
                <w:color w:val="000000"/>
              </w:rPr>
            </w:pPr>
            <w:r w:rsidRPr="00A850A0">
              <w:rPr>
                <w:color w:val="000000"/>
              </w:rPr>
              <w:t>Poland</w:t>
            </w:r>
          </w:p>
        </w:tc>
        <w:tc>
          <w:tcPr>
            <w:tcW w:w="1160" w:type="dxa"/>
            <w:tcBorders>
              <w:top w:val="nil"/>
              <w:left w:val="nil"/>
              <w:bottom w:val="nil"/>
              <w:right w:val="nil"/>
            </w:tcBorders>
            <w:shd w:val="clear" w:color="auto" w:fill="auto"/>
            <w:noWrap/>
            <w:vAlign w:val="bottom"/>
            <w:hideMark/>
          </w:tcPr>
          <w:p w14:paraId="1CC3E847" w14:textId="77777777" w:rsidR="00B415D9" w:rsidRPr="00A850A0" w:rsidRDefault="00B415D9" w:rsidP="00F866EA">
            <w:pPr>
              <w:spacing w:after="0" w:line="240" w:lineRule="auto"/>
              <w:rPr>
                <w:color w:val="000000"/>
              </w:rPr>
            </w:pPr>
            <w:r w:rsidRPr="00A850A0">
              <w:rPr>
                <w:color w:val="000000"/>
              </w:rPr>
              <w:t>.84</w:t>
            </w:r>
          </w:p>
        </w:tc>
        <w:tc>
          <w:tcPr>
            <w:tcW w:w="1160" w:type="dxa"/>
            <w:tcBorders>
              <w:top w:val="nil"/>
              <w:left w:val="nil"/>
              <w:bottom w:val="nil"/>
              <w:right w:val="nil"/>
            </w:tcBorders>
            <w:shd w:val="clear" w:color="auto" w:fill="auto"/>
            <w:noWrap/>
            <w:vAlign w:val="bottom"/>
            <w:hideMark/>
          </w:tcPr>
          <w:p w14:paraId="22B2AEB5" w14:textId="77777777" w:rsidR="00B415D9" w:rsidRPr="00A850A0" w:rsidRDefault="00B415D9" w:rsidP="00F866EA">
            <w:pPr>
              <w:spacing w:after="0" w:line="240" w:lineRule="auto"/>
              <w:rPr>
                <w:color w:val="000000"/>
              </w:rPr>
            </w:pPr>
            <w:r w:rsidRPr="00A850A0">
              <w:rPr>
                <w:color w:val="000000"/>
              </w:rPr>
              <w:t>.26</w:t>
            </w:r>
          </w:p>
        </w:tc>
        <w:tc>
          <w:tcPr>
            <w:tcW w:w="1160" w:type="dxa"/>
            <w:tcBorders>
              <w:top w:val="nil"/>
              <w:left w:val="nil"/>
              <w:bottom w:val="nil"/>
              <w:right w:val="nil"/>
            </w:tcBorders>
            <w:shd w:val="clear" w:color="auto" w:fill="auto"/>
            <w:noWrap/>
            <w:vAlign w:val="bottom"/>
            <w:hideMark/>
          </w:tcPr>
          <w:p w14:paraId="3BE51119"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5DCDC086" w14:textId="77777777" w:rsidR="00B415D9" w:rsidRPr="00A850A0" w:rsidRDefault="00B415D9" w:rsidP="00F866EA">
            <w:pPr>
              <w:spacing w:after="0" w:line="240" w:lineRule="auto"/>
              <w:rPr>
                <w:color w:val="000000"/>
              </w:rPr>
            </w:pPr>
            <w:r w:rsidRPr="00A850A0">
              <w:rPr>
                <w:color w:val="000000"/>
              </w:rPr>
              <w:t>.71</w:t>
            </w:r>
          </w:p>
        </w:tc>
      </w:tr>
      <w:tr w:rsidR="00B415D9" w:rsidRPr="00A850A0" w14:paraId="31825B0B" w14:textId="77777777" w:rsidTr="00F866EA">
        <w:trPr>
          <w:trHeight w:val="299"/>
        </w:trPr>
        <w:tc>
          <w:tcPr>
            <w:tcW w:w="1959" w:type="dxa"/>
            <w:tcBorders>
              <w:top w:val="nil"/>
              <w:left w:val="nil"/>
              <w:bottom w:val="nil"/>
              <w:right w:val="nil"/>
            </w:tcBorders>
            <w:shd w:val="clear" w:color="auto" w:fill="auto"/>
            <w:noWrap/>
            <w:vAlign w:val="bottom"/>
            <w:hideMark/>
          </w:tcPr>
          <w:p w14:paraId="2ACA670B" w14:textId="77777777" w:rsidR="00B415D9" w:rsidRPr="00A850A0" w:rsidRDefault="00B415D9" w:rsidP="00F866EA">
            <w:pPr>
              <w:spacing w:after="0" w:line="240" w:lineRule="auto"/>
              <w:jc w:val="left"/>
              <w:rPr>
                <w:color w:val="000000"/>
              </w:rPr>
            </w:pPr>
            <w:r w:rsidRPr="00A850A0">
              <w:rPr>
                <w:color w:val="000000"/>
              </w:rPr>
              <w:t>Hong Kong</w:t>
            </w:r>
          </w:p>
        </w:tc>
        <w:tc>
          <w:tcPr>
            <w:tcW w:w="1160" w:type="dxa"/>
            <w:tcBorders>
              <w:top w:val="nil"/>
              <w:left w:val="nil"/>
              <w:bottom w:val="nil"/>
              <w:right w:val="nil"/>
            </w:tcBorders>
            <w:shd w:val="clear" w:color="auto" w:fill="auto"/>
            <w:noWrap/>
            <w:vAlign w:val="bottom"/>
            <w:hideMark/>
          </w:tcPr>
          <w:p w14:paraId="31DFEA9D" w14:textId="77777777" w:rsidR="00B415D9" w:rsidRPr="00A850A0" w:rsidRDefault="00B415D9" w:rsidP="00F866EA">
            <w:pPr>
              <w:spacing w:after="0" w:line="240" w:lineRule="auto"/>
              <w:rPr>
                <w:color w:val="000000"/>
              </w:rPr>
            </w:pPr>
            <w:r w:rsidRPr="00A850A0">
              <w:rPr>
                <w:color w:val="000000"/>
              </w:rPr>
              <w:t>.84</w:t>
            </w:r>
          </w:p>
        </w:tc>
        <w:tc>
          <w:tcPr>
            <w:tcW w:w="1160" w:type="dxa"/>
            <w:tcBorders>
              <w:top w:val="nil"/>
              <w:left w:val="nil"/>
              <w:bottom w:val="nil"/>
              <w:right w:val="nil"/>
            </w:tcBorders>
            <w:shd w:val="clear" w:color="auto" w:fill="auto"/>
            <w:noWrap/>
            <w:vAlign w:val="bottom"/>
            <w:hideMark/>
          </w:tcPr>
          <w:p w14:paraId="763845CD" w14:textId="77777777" w:rsidR="00B415D9" w:rsidRPr="00A850A0" w:rsidRDefault="00B415D9" w:rsidP="00F866EA">
            <w:pPr>
              <w:spacing w:after="0" w:line="240" w:lineRule="auto"/>
              <w:rPr>
                <w:color w:val="000000"/>
              </w:rPr>
            </w:pPr>
            <w:r w:rsidRPr="00A850A0">
              <w:rPr>
                <w:color w:val="000000"/>
              </w:rPr>
              <w:t>.32</w:t>
            </w:r>
          </w:p>
        </w:tc>
        <w:tc>
          <w:tcPr>
            <w:tcW w:w="1160" w:type="dxa"/>
            <w:tcBorders>
              <w:top w:val="nil"/>
              <w:left w:val="nil"/>
              <w:bottom w:val="nil"/>
              <w:right w:val="nil"/>
            </w:tcBorders>
            <w:shd w:val="clear" w:color="auto" w:fill="auto"/>
            <w:noWrap/>
            <w:vAlign w:val="bottom"/>
            <w:hideMark/>
          </w:tcPr>
          <w:p w14:paraId="67DAAF39"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4B811152" w14:textId="77777777" w:rsidR="00B415D9" w:rsidRPr="00A850A0" w:rsidRDefault="00B415D9" w:rsidP="00F866EA">
            <w:pPr>
              <w:spacing w:after="0" w:line="240" w:lineRule="auto"/>
              <w:rPr>
                <w:color w:val="000000"/>
              </w:rPr>
            </w:pPr>
            <w:r w:rsidRPr="00A850A0">
              <w:rPr>
                <w:color w:val="000000"/>
              </w:rPr>
              <w:t>.71</w:t>
            </w:r>
          </w:p>
        </w:tc>
      </w:tr>
      <w:tr w:rsidR="00B415D9" w:rsidRPr="00A850A0" w14:paraId="66F90D70" w14:textId="77777777" w:rsidTr="00F866EA">
        <w:trPr>
          <w:trHeight w:val="299"/>
        </w:trPr>
        <w:tc>
          <w:tcPr>
            <w:tcW w:w="1959" w:type="dxa"/>
            <w:tcBorders>
              <w:top w:val="nil"/>
              <w:left w:val="nil"/>
              <w:bottom w:val="nil"/>
              <w:right w:val="nil"/>
            </w:tcBorders>
            <w:shd w:val="clear" w:color="auto" w:fill="auto"/>
            <w:noWrap/>
            <w:vAlign w:val="bottom"/>
            <w:hideMark/>
          </w:tcPr>
          <w:p w14:paraId="70EB902E" w14:textId="77777777" w:rsidR="00B415D9" w:rsidRPr="00A850A0" w:rsidRDefault="00B415D9" w:rsidP="00F866EA">
            <w:pPr>
              <w:spacing w:after="0" w:line="240" w:lineRule="auto"/>
              <w:jc w:val="left"/>
              <w:rPr>
                <w:color w:val="000000"/>
              </w:rPr>
            </w:pPr>
            <w:r w:rsidRPr="00A850A0">
              <w:rPr>
                <w:color w:val="000000"/>
              </w:rPr>
              <w:t>Brazil</w:t>
            </w:r>
          </w:p>
        </w:tc>
        <w:tc>
          <w:tcPr>
            <w:tcW w:w="1160" w:type="dxa"/>
            <w:tcBorders>
              <w:top w:val="nil"/>
              <w:left w:val="nil"/>
              <w:bottom w:val="nil"/>
              <w:right w:val="nil"/>
            </w:tcBorders>
            <w:shd w:val="clear" w:color="auto" w:fill="auto"/>
            <w:noWrap/>
            <w:vAlign w:val="bottom"/>
            <w:hideMark/>
          </w:tcPr>
          <w:p w14:paraId="18073717" w14:textId="77777777" w:rsidR="00B415D9" w:rsidRPr="00A850A0" w:rsidRDefault="00B415D9" w:rsidP="00F866EA">
            <w:pPr>
              <w:spacing w:after="0" w:line="240" w:lineRule="auto"/>
              <w:rPr>
                <w:color w:val="000000"/>
              </w:rPr>
            </w:pPr>
            <w:r w:rsidRPr="00A850A0">
              <w:rPr>
                <w:color w:val="000000"/>
              </w:rPr>
              <w:t>.84</w:t>
            </w:r>
          </w:p>
        </w:tc>
        <w:tc>
          <w:tcPr>
            <w:tcW w:w="1160" w:type="dxa"/>
            <w:tcBorders>
              <w:top w:val="nil"/>
              <w:left w:val="nil"/>
              <w:bottom w:val="nil"/>
              <w:right w:val="nil"/>
            </w:tcBorders>
            <w:shd w:val="clear" w:color="auto" w:fill="auto"/>
            <w:noWrap/>
            <w:vAlign w:val="bottom"/>
            <w:hideMark/>
          </w:tcPr>
          <w:p w14:paraId="67D922ED" w14:textId="77777777" w:rsidR="00B415D9" w:rsidRPr="00A850A0" w:rsidRDefault="00B415D9" w:rsidP="00F866EA">
            <w:pPr>
              <w:spacing w:after="0" w:line="240" w:lineRule="auto"/>
              <w:rPr>
                <w:color w:val="000000"/>
              </w:rPr>
            </w:pPr>
            <w:r w:rsidRPr="00A850A0">
              <w:rPr>
                <w:color w:val="000000"/>
              </w:rPr>
              <w:t>.35</w:t>
            </w:r>
          </w:p>
        </w:tc>
        <w:tc>
          <w:tcPr>
            <w:tcW w:w="1160" w:type="dxa"/>
            <w:tcBorders>
              <w:top w:val="nil"/>
              <w:left w:val="nil"/>
              <w:bottom w:val="nil"/>
              <w:right w:val="nil"/>
            </w:tcBorders>
            <w:shd w:val="clear" w:color="auto" w:fill="auto"/>
            <w:noWrap/>
            <w:vAlign w:val="bottom"/>
            <w:hideMark/>
          </w:tcPr>
          <w:p w14:paraId="101DD96F"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642B2A0C" w14:textId="77777777" w:rsidR="00B415D9" w:rsidRPr="00A850A0" w:rsidRDefault="00B415D9" w:rsidP="00F866EA">
            <w:pPr>
              <w:spacing w:after="0" w:line="240" w:lineRule="auto"/>
              <w:rPr>
                <w:color w:val="000000"/>
              </w:rPr>
            </w:pPr>
            <w:r w:rsidRPr="00A850A0">
              <w:rPr>
                <w:color w:val="000000"/>
              </w:rPr>
              <w:t>.71</w:t>
            </w:r>
          </w:p>
        </w:tc>
      </w:tr>
      <w:tr w:rsidR="00B415D9" w:rsidRPr="00A850A0" w14:paraId="37319224" w14:textId="77777777" w:rsidTr="00F866EA">
        <w:trPr>
          <w:trHeight w:val="299"/>
        </w:trPr>
        <w:tc>
          <w:tcPr>
            <w:tcW w:w="1959" w:type="dxa"/>
            <w:tcBorders>
              <w:top w:val="nil"/>
              <w:left w:val="nil"/>
              <w:bottom w:val="nil"/>
              <w:right w:val="nil"/>
            </w:tcBorders>
            <w:shd w:val="clear" w:color="auto" w:fill="auto"/>
            <w:noWrap/>
            <w:vAlign w:val="bottom"/>
            <w:hideMark/>
          </w:tcPr>
          <w:p w14:paraId="7B855DEC" w14:textId="77777777" w:rsidR="00B415D9" w:rsidRPr="00A850A0" w:rsidRDefault="00B415D9" w:rsidP="00F866EA">
            <w:pPr>
              <w:spacing w:after="0" w:line="240" w:lineRule="auto"/>
              <w:jc w:val="left"/>
              <w:rPr>
                <w:color w:val="000000"/>
              </w:rPr>
            </w:pPr>
            <w:r w:rsidRPr="00A850A0">
              <w:rPr>
                <w:color w:val="000000"/>
              </w:rPr>
              <w:t>Norway</w:t>
            </w:r>
          </w:p>
        </w:tc>
        <w:tc>
          <w:tcPr>
            <w:tcW w:w="1160" w:type="dxa"/>
            <w:tcBorders>
              <w:top w:val="nil"/>
              <w:left w:val="nil"/>
              <w:bottom w:val="nil"/>
              <w:right w:val="nil"/>
            </w:tcBorders>
            <w:shd w:val="clear" w:color="auto" w:fill="auto"/>
            <w:noWrap/>
            <w:vAlign w:val="bottom"/>
            <w:hideMark/>
          </w:tcPr>
          <w:p w14:paraId="46711794" w14:textId="77777777" w:rsidR="00B415D9" w:rsidRPr="00A850A0" w:rsidRDefault="00B415D9" w:rsidP="00F866EA">
            <w:pPr>
              <w:spacing w:after="0" w:line="240" w:lineRule="auto"/>
              <w:rPr>
                <w:color w:val="000000"/>
              </w:rPr>
            </w:pPr>
            <w:r w:rsidRPr="00A850A0">
              <w:rPr>
                <w:color w:val="000000"/>
              </w:rPr>
              <w:t>.84</w:t>
            </w:r>
          </w:p>
        </w:tc>
        <w:tc>
          <w:tcPr>
            <w:tcW w:w="1160" w:type="dxa"/>
            <w:tcBorders>
              <w:top w:val="nil"/>
              <w:left w:val="nil"/>
              <w:bottom w:val="nil"/>
              <w:right w:val="nil"/>
            </w:tcBorders>
            <w:shd w:val="clear" w:color="auto" w:fill="auto"/>
            <w:noWrap/>
            <w:vAlign w:val="bottom"/>
            <w:hideMark/>
          </w:tcPr>
          <w:p w14:paraId="7BA25185" w14:textId="77777777" w:rsidR="00B415D9" w:rsidRPr="00A850A0" w:rsidRDefault="00B415D9" w:rsidP="00F866EA">
            <w:pPr>
              <w:spacing w:after="0" w:line="240" w:lineRule="auto"/>
              <w:rPr>
                <w:color w:val="000000"/>
              </w:rPr>
            </w:pPr>
            <w:r w:rsidRPr="00A850A0">
              <w:rPr>
                <w:color w:val="000000"/>
              </w:rPr>
              <w:t>.30</w:t>
            </w:r>
          </w:p>
        </w:tc>
        <w:tc>
          <w:tcPr>
            <w:tcW w:w="1160" w:type="dxa"/>
            <w:tcBorders>
              <w:top w:val="nil"/>
              <w:left w:val="nil"/>
              <w:bottom w:val="nil"/>
              <w:right w:val="nil"/>
            </w:tcBorders>
            <w:shd w:val="clear" w:color="auto" w:fill="auto"/>
            <w:noWrap/>
            <w:vAlign w:val="bottom"/>
            <w:hideMark/>
          </w:tcPr>
          <w:p w14:paraId="1D1E4378"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2D0F18A7" w14:textId="77777777" w:rsidR="00B415D9" w:rsidRPr="00A850A0" w:rsidRDefault="00B415D9" w:rsidP="00F866EA">
            <w:pPr>
              <w:spacing w:after="0" w:line="240" w:lineRule="auto"/>
              <w:rPr>
                <w:color w:val="000000"/>
              </w:rPr>
            </w:pPr>
            <w:r w:rsidRPr="00A850A0">
              <w:rPr>
                <w:color w:val="000000"/>
              </w:rPr>
              <w:t>.71</w:t>
            </w:r>
          </w:p>
        </w:tc>
      </w:tr>
      <w:tr w:rsidR="00B415D9" w:rsidRPr="00A850A0" w14:paraId="3F8129DA" w14:textId="77777777" w:rsidTr="00F866EA">
        <w:trPr>
          <w:trHeight w:val="299"/>
        </w:trPr>
        <w:tc>
          <w:tcPr>
            <w:tcW w:w="1959" w:type="dxa"/>
            <w:tcBorders>
              <w:top w:val="nil"/>
              <w:left w:val="nil"/>
              <w:bottom w:val="nil"/>
              <w:right w:val="nil"/>
            </w:tcBorders>
            <w:shd w:val="clear" w:color="auto" w:fill="auto"/>
            <w:noWrap/>
            <w:vAlign w:val="bottom"/>
            <w:hideMark/>
          </w:tcPr>
          <w:p w14:paraId="03C02FE5" w14:textId="77777777" w:rsidR="00B415D9" w:rsidRPr="00A850A0" w:rsidRDefault="00B415D9" w:rsidP="00F866EA">
            <w:pPr>
              <w:spacing w:after="0" w:line="240" w:lineRule="auto"/>
              <w:jc w:val="left"/>
              <w:rPr>
                <w:color w:val="000000"/>
              </w:rPr>
            </w:pPr>
            <w:r w:rsidRPr="00A850A0">
              <w:rPr>
                <w:color w:val="000000"/>
              </w:rPr>
              <w:t>Germany</w:t>
            </w:r>
          </w:p>
        </w:tc>
        <w:tc>
          <w:tcPr>
            <w:tcW w:w="1160" w:type="dxa"/>
            <w:tcBorders>
              <w:top w:val="nil"/>
              <w:left w:val="nil"/>
              <w:bottom w:val="nil"/>
              <w:right w:val="nil"/>
            </w:tcBorders>
            <w:shd w:val="clear" w:color="auto" w:fill="auto"/>
            <w:noWrap/>
            <w:vAlign w:val="bottom"/>
            <w:hideMark/>
          </w:tcPr>
          <w:p w14:paraId="7EFA1C3C" w14:textId="77777777" w:rsidR="00B415D9" w:rsidRPr="00A850A0" w:rsidRDefault="00B415D9" w:rsidP="00F866EA">
            <w:pPr>
              <w:spacing w:after="0" w:line="240" w:lineRule="auto"/>
              <w:rPr>
                <w:color w:val="000000"/>
              </w:rPr>
            </w:pPr>
            <w:r w:rsidRPr="00A850A0">
              <w:rPr>
                <w:color w:val="000000"/>
              </w:rPr>
              <w:t>.84</w:t>
            </w:r>
          </w:p>
        </w:tc>
        <w:tc>
          <w:tcPr>
            <w:tcW w:w="1160" w:type="dxa"/>
            <w:tcBorders>
              <w:top w:val="nil"/>
              <w:left w:val="nil"/>
              <w:bottom w:val="nil"/>
              <w:right w:val="nil"/>
            </w:tcBorders>
            <w:shd w:val="clear" w:color="auto" w:fill="auto"/>
            <w:noWrap/>
            <w:vAlign w:val="bottom"/>
            <w:hideMark/>
          </w:tcPr>
          <w:p w14:paraId="5C1A24E7" w14:textId="77777777" w:rsidR="00B415D9" w:rsidRPr="00A850A0" w:rsidRDefault="00B415D9" w:rsidP="00F866EA">
            <w:pPr>
              <w:spacing w:after="0" w:line="240" w:lineRule="auto"/>
              <w:rPr>
                <w:color w:val="000000"/>
              </w:rPr>
            </w:pPr>
            <w:r w:rsidRPr="00A850A0">
              <w:rPr>
                <w:color w:val="000000"/>
              </w:rPr>
              <w:t>.29</w:t>
            </w:r>
          </w:p>
        </w:tc>
        <w:tc>
          <w:tcPr>
            <w:tcW w:w="1160" w:type="dxa"/>
            <w:tcBorders>
              <w:top w:val="nil"/>
              <w:left w:val="nil"/>
              <w:bottom w:val="nil"/>
              <w:right w:val="nil"/>
            </w:tcBorders>
            <w:shd w:val="clear" w:color="auto" w:fill="auto"/>
            <w:noWrap/>
            <w:vAlign w:val="bottom"/>
            <w:hideMark/>
          </w:tcPr>
          <w:p w14:paraId="72069C8A" w14:textId="77777777" w:rsidR="00B415D9" w:rsidRPr="00A850A0" w:rsidRDefault="00B415D9" w:rsidP="00F866EA">
            <w:pPr>
              <w:spacing w:after="0" w:line="240" w:lineRule="auto"/>
              <w:rPr>
                <w:color w:val="000000"/>
              </w:rPr>
            </w:pPr>
            <w:r w:rsidRPr="00A850A0">
              <w:rPr>
                <w:color w:val="000000"/>
              </w:rPr>
              <w:t>.02</w:t>
            </w:r>
          </w:p>
        </w:tc>
        <w:tc>
          <w:tcPr>
            <w:tcW w:w="1163" w:type="dxa"/>
            <w:tcBorders>
              <w:top w:val="nil"/>
              <w:left w:val="nil"/>
              <w:bottom w:val="nil"/>
              <w:right w:val="nil"/>
            </w:tcBorders>
            <w:shd w:val="clear" w:color="auto" w:fill="auto"/>
            <w:noWrap/>
            <w:vAlign w:val="bottom"/>
            <w:hideMark/>
          </w:tcPr>
          <w:p w14:paraId="02B0462F" w14:textId="77777777" w:rsidR="00B415D9" w:rsidRPr="00A850A0" w:rsidRDefault="00B415D9" w:rsidP="00F866EA">
            <w:pPr>
              <w:spacing w:after="0" w:line="240" w:lineRule="auto"/>
              <w:rPr>
                <w:color w:val="000000"/>
              </w:rPr>
            </w:pPr>
            <w:r w:rsidRPr="00A850A0">
              <w:rPr>
                <w:color w:val="000000"/>
              </w:rPr>
              <w:t>.70</w:t>
            </w:r>
          </w:p>
        </w:tc>
      </w:tr>
      <w:tr w:rsidR="00B415D9" w:rsidRPr="00A850A0" w14:paraId="78DB32BC" w14:textId="77777777" w:rsidTr="00F866EA">
        <w:trPr>
          <w:trHeight w:val="299"/>
        </w:trPr>
        <w:tc>
          <w:tcPr>
            <w:tcW w:w="1959" w:type="dxa"/>
            <w:tcBorders>
              <w:top w:val="nil"/>
              <w:left w:val="nil"/>
              <w:bottom w:val="nil"/>
              <w:right w:val="nil"/>
            </w:tcBorders>
            <w:shd w:val="clear" w:color="auto" w:fill="auto"/>
            <w:noWrap/>
            <w:vAlign w:val="bottom"/>
            <w:hideMark/>
          </w:tcPr>
          <w:p w14:paraId="592F738D" w14:textId="77777777" w:rsidR="00B415D9" w:rsidRPr="00A850A0" w:rsidRDefault="00B415D9" w:rsidP="00F866EA">
            <w:pPr>
              <w:spacing w:after="0" w:line="240" w:lineRule="auto"/>
              <w:jc w:val="left"/>
              <w:rPr>
                <w:color w:val="000000"/>
              </w:rPr>
            </w:pPr>
            <w:r w:rsidRPr="00A850A0">
              <w:rPr>
                <w:color w:val="000000"/>
              </w:rPr>
              <w:t>Singapore</w:t>
            </w:r>
          </w:p>
        </w:tc>
        <w:tc>
          <w:tcPr>
            <w:tcW w:w="1160" w:type="dxa"/>
            <w:tcBorders>
              <w:top w:val="nil"/>
              <w:left w:val="nil"/>
              <w:bottom w:val="nil"/>
              <w:right w:val="nil"/>
            </w:tcBorders>
            <w:shd w:val="clear" w:color="auto" w:fill="auto"/>
            <w:noWrap/>
            <w:vAlign w:val="bottom"/>
            <w:hideMark/>
          </w:tcPr>
          <w:p w14:paraId="0C70D386" w14:textId="77777777" w:rsidR="00B415D9" w:rsidRPr="00A850A0" w:rsidRDefault="00B415D9" w:rsidP="00F866EA">
            <w:pPr>
              <w:spacing w:after="0" w:line="240" w:lineRule="auto"/>
              <w:rPr>
                <w:color w:val="000000"/>
              </w:rPr>
            </w:pPr>
            <w:r w:rsidRPr="00A850A0">
              <w:rPr>
                <w:color w:val="000000"/>
              </w:rPr>
              <w:t>.84</w:t>
            </w:r>
          </w:p>
        </w:tc>
        <w:tc>
          <w:tcPr>
            <w:tcW w:w="1160" w:type="dxa"/>
            <w:tcBorders>
              <w:top w:val="nil"/>
              <w:left w:val="nil"/>
              <w:bottom w:val="nil"/>
              <w:right w:val="nil"/>
            </w:tcBorders>
            <w:shd w:val="clear" w:color="auto" w:fill="auto"/>
            <w:noWrap/>
            <w:vAlign w:val="bottom"/>
            <w:hideMark/>
          </w:tcPr>
          <w:p w14:paraId="5F6F735A" w14:textId="77777777" w:rsidR="00B415D9" w:rsidRPr="00A850A0" w:rsidRDefault="00B415D9" w:rsidP="00F866EA">
            <w:pPr>
              <w:spacing w:after="0" w:line="240" w:lineRule="auto"/>
              <w:rPr>
                <w:color w:val="000000"/>
              </w:rPr>
            </w:pPr>
            <w:r w:rsidRPr="00A850A0">
              <w:rPr>
                <w:color w:val="000000"/>
              </w:rPr>
              <w:t>.30</w:t>
            </w:r>
          </w:p>
        </w:tc>
        <w:tc>
          <w:tcPr>
            <w:tcW w:w="1160" w:type="dxa"/>
            <w:tcBorders>
              <w:top w:val="nil"/>
              <w:left w:val="nil"/>
              <w:bottom w:val="nil"/>
              <w:right w:val="nil"/>
            </w:tcBorders>
            <w:shd w:val="clear" w:color="auto" w:fill="auto"/>
            <w:noWrap/>
            <w:vAlign w:val="bottom"/>
            <w:hideMark/>
          </w:tcPr>
          <w:p w14:paraId="51A91BF6"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5FA28528" w14:textId="77777777" w:rsidR="00B415D9" w:rsidRPr="00A850A0" w:rsidRDefault="00B415D9" w:rsidP="00F866EA">
            <w:pPr>
              <w:spacing w:after="0" w:line="240" w:lineRule="auto"/>
              <w:rPr>
                <w:color w:val="000000"/>
              </w:rPr>
            </w:pPr>
            <w:r w:rsidRPr="00A850A0">
              <w:rPr>
                <w:color w:val="000000"/>
              </w:rPr>
              <w:t>.70</w:t>
            </w:r>
          </w:p>
        </w:tc>
      </w:tr>
      <w:tr w:rsidR="00B415D9" w:rsidRPr="00A850A0" w14:paraId="5CF4ED33" w14:textId="77777777" w:rsidTr="00F866EA">
        <w:trPr>
          <w:trHeight w:val="299"/>
        </w:trPr>
        <w:tc>
          <w:tcPr>
            <w:tcW w:w="1959" w:type="dxa"/>
            <w:tcBorders>
              <w:top w:val="nil"/>
              <w:left w:val="nil"/>
              <w:bottom w:val="nil"/>
              <w:right w:val="nil"/>
            </w:tcBorders>
            <w:shd w:val="clear" w:color="auto" w:fill="auto"/>
            <w:noWrap/>
            <w:vAlign w:val="bottom"/>
            <w:hideMark/>
          </w:tcPr>
          <w:p w14:paraId="0C364305" w14:textId="77777777" w:rsidR="00B415D9" w:rsidRPr="00A850A0" w:rsidRDefault="00B415D9" w:rsidP="00F866EA">
            <w:pPr>
              <w:spacing w:after="0" w:line="240" w:lineRule="auto"/>
              <w:jc w:val="left"/>
              <w:rPr>
                <w:color w:val="000000"/>
              </w:rPr>
            </w:pPr>
            <w:r w:rsidRPr="00A850A0">
              <w:rPr>
                <w:color w:val="000000"/>
              </w:rPr>
              <w:t>Spain</w:t>
            </w:r>
          </w:p>
        </w:tc>
        <w:tc>
          <w:tcPr>
            <w:tcW w:w="1160" w:type="dxa"/>
            <w:tcBorders>
              <w:top w:val="nil"/>
              <w:left w:val="nil"/>
              <w:bottom w:val="nil"/>
              <w:right w:val="nil"/>
            </w:tcBorders>
            <w:shd w:val="clear" w:color="auto" w:fill="auto"/>
            <w:noWrap/>
            <w:vAlign w:val="bottom"/>
            <w:hideMark/>
          </w:tcPr>
          <w:p w14:paraId="18B5DFE0" w14:textId="77777777" w:rsidR="00B415D9" w:rsidRPr="00A850A0" w:rsidRDefault="00B415D9" w:rsidP="00F866EA">
            <w:pPr>
              <w:spacing w:after="0" w:line="240" w:lineRule="auto"/>
              <w:rPr>
                <w:color w:val="000000"/>
              </w:rPr>
            </w:pPr>
            <w:r w:rsidRPr="00A850A0">
              <w:rPr>
                <w:color w:val="000000"/>
              </w:rPr>
              <w:t>.83</w:t>
            </w:r>
          </w:p>
        </w:tc>
        <w:tc>
          <w:tcPr>
            <w:tcW w:w="1160" w:type="dxa"/>
            <w:tcBorders>
              <w:top w:val="nil"/>
              <w:left w:val="nil"/>
              <w:bottom w:val="nil"/>
              <w:right w:val="nil"/>
            </w:tcBorders>
            <w:shd w:val="clear" w:color="auto" w:fill="auto"/>
            <w:noWrap/>
            <w:vAlign w:val="bottom"/>
            <w:hideMark/>
          </w:tcPr>
          <w:p w14:paraId="145A4BAD" w14:textId="77777777" w:rsidR="00B415D9" w:rsidRPr="00A850A0" w:rsidRDefault="00B415D9" w:rsidP="00F866EA">
            <w:pPr>
              <w:spacing w:after="0" w:line="240" w:lineRule="auto"/>
              <w:rPr>
                <w:color w:val="000000"/>
              </w:rPr>
            </w:pPr>
            <w:r w:rsidRPr="00A850A0">
              <w:rPr>
                <w:color w:val="000000"/>
              </w:rPr>
              <w:t>.36</w:t>
            </w:r>
          </w:p>
        </w:tc>
        <w:tc>
          <w:tcPr>
            <w:tcW w:w="1160" w:type="dxa"/>
            <w:tcBorders>
              <w:top w:val="nil"/>
              <w:left w:val="nil"/>
              <w:bottom w:val="nil"/>
              <w:right w:val="nil"/>
            </w:tcBorders>
            <w:shd w:val="clear" w:color="auto" w:fill="auto"/>
            <w:noWrap/>
            <w:vAlign w:val="bottom"/>
            <w:hideMark/>
          </w:tcPr>
          <w:p w14:paraId="6715E145"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4D700176" w14:textId="77777777" w:rsidR="00B415D9" w:rsidRPr="00A850A0" w:rsidRDefault="00B415D9" w:rsidP="00F866EA">
            <w:pPr>
              <w:spacing w:after="0" w:line="240" w:lineRule="auto"/>
              <w:rPr>
                <w:color w:val="000000"/>
              </w:rPr>
            </w:pPr>
            <w:r w:rsidRPr="00A850A0">
              <w:rPr>
                <w:color w:val="000000"/>
              </w:rPr>
              <w:t>.69</w:t>
            </w:r>
          </w:p>
        </w:tc>
      </w:tr>
      <w:tr w:rsidR="00B415D9" w:rsidRPr="00A850A0" w14:paraId="6184965E" w14:textId="77777777" w:rsidTr="00F866EA">
        <w:trPr>
          <w:trHeight w:val="299"/>
        </w:trPr>
        <w:tc>
          <w:tcPr>
            <w:tcW w:w="1959" w:type="dxa"/>
            <w:tcBorders>
              <w:top w:val="nil"/>
              <w:left w:val="nil"/>
              <w:bottom w:val="nil"/>
              <w:right w:val="nil"/>
            </w:tcBorders>
            <w:shd w:val="clear" w:color="auto" w:fill="auto"/>
            <w:noWrap/>
            <w:vAlign w:val="bottom"/>
            <w:hideMark/>
          </w:tcPr>
          <w:p w14:paraId="3B3C957E" w14:textId="77777777" w:rsidR="00B415D9" w:rsidRPr="00A850A0" w:rsidRDefault="00B415D9" w:rsidP="00F866EA">
            <w:pPr>
              <w:spacing w:after="0" w:line="240" w:lineRule="auto"/>
              <w:jc w:val="left"/>
              <w:rPr>
                <w:color w:val="000000"/>
              </w:rPr>
            </w:pPr>
            <w:r w:rsidRPr="00A850A0">
              <w:rPr>
                <w:color w:val="000000"/>
              </w:rPr>
              <w:t>South Korea</w:t>
            </w:r>
          </w:p>
        </w:tc>
        <w:tc>
          <w:tcPr>
            <w:tcW w:w="1160" w:type="dxa"/>
            <w:tcBorders>
              <w:top w:val="nil"/>
              <w:left w:val="nil"/>
              <w:bottom w:val="nil"/>
              <w:right w:val="nil"/>
            </w:tcBorders>
            <w:shd w:val="clear" w:color="auto" w:fill="auto"/>
            <w:noWrap/>
            <w:vAlign w:val="bottom"/>
            <w:hideMark/>
          </w:tcPr>
          <w:p w14:paraId="1E3FE60E" w14:textId="77777777" w:rsidR="00B415D9" w:rsidRPr="00A850A0" w:rsidRDefault="00B415D9" w:rsidP="00F866EA">
            <w:pPr>
              <w:spacing w:after="0" w:line="240" w:lineRule="auto"/>
              <w:rPr>
                <w:color w:val="000000"/>
              </w:rPr>
            </w:pPr>
            <w:r w:rsidRPr="00A850A0">
              <w:rPr>
                <w:color w:val="000000"/>
              </w:rPr>
              <w:t>.83</w:t>
            </w:r>
          </w:p>
        </w:tc>
        <w:tc>
          <w:tcPr>
            <w:tcW w:w="1160" w:type="dxa"/>
            <w:tcBorders>
              <w:top w:val="nil"/>
              <w:left w:val="nil"/>
              <w:bottom w:val="nil"/>
              <w:right w:val="nil"/>
            </w:tcBorders>
            <w:shd w:val="clear" w:color="auto" w:fill="auto"/>
            <w:noWrap/>
            <w:vAlign w:val="bottom"/>
            <w:hideMark/>
          </w:tcPr>
          <w:p w14:paraId="1469746A" w14:textId="77777777" w:rsidR="00B415D9" w:rsidRPr="00A850A0" w:rsidRDefault="00B415D9" w:rsidP="00F866EA">
            <w:pPr>
              <w:spacing w:after="0" w:line="240" w:lineRule="auto"/>
              <w:rPr>
                <w:color w:val="000000"/>
              </w:rPr>
            </w:pPr>
            <w:r w:rsidRPr="00A850A0">
              <w:rPr>
                <w:color w:val="000000"/>
              </w:rPr>
              <w:t>.34</w:t>
            </w:r>
          </w:p>
        </w:tc>
        <w:tc>
          <w:tcPr>
            <w:tcW w:w="1160" w:type="dxa"/>
            <w:tcBorders>
              <w:top w:val="nil"/>
              <w:left w:val="nil"/>
              <w:bottom w:val="nil"/>
              <w:right w:val="nil"/>
            </w:tcBorders>
            <w:shd w:val="clear" w:color="auto" w:fill="auto"/>
            <w:noWrap/>
            <w:vAlign w:val="bottom"/>
            <w:hideMark/>
          </w:tcPr>
          <w:p w14:paraId="2CA3CB5E"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22BDAC38" w14:textId="77777777" w:rsidR="00B415D9" w:rsidRPr="00A850A0" w:rsidRDefault="00B415D9" w:rsidP="00F866EA">
            <w:pPr>
              <w:spacing w:after="0" w:line="240" w:lineRule="auto"/>
              <w:rPr>
                <w:color w:val="000000"/>
              </w:rPr>
            </w:pPr>
            <w:r w:rsidRPr="00A850A0">
              <w:rPr>
                <w:color w:val="000000"/>
              </w:rPr>
              <w:t>.68</w:t>
            </w:r>
          </w:p>
        </w:tc>
      </w:tr>
      <w:tr w:rsidR="00B415D9" w:rsidRPr="00A850A0" w14:paraId="66BE7CE0" w14:textId="77777777" w:rsidTr="00F866EA">
        <w:trPr>
          <w:trHeight w:val="299"/>
        </w:trPr>
        <w:tc>
          <w:tcPr>
            <w:tcW w:w="1959" w:type="dxa"/>
            <w:tcBorders>
              <w:top w:val="nil"/>
              <w:left w:val="nil"/>
              <w:bottom w:val="nil"/>
              <w:right w:val="nil"/>
            </w:tcBorders>
            <w:shd w:val="clear" w:color="auto" w:fill="auto"/>
            <w:noWrap/>
            <w:vAlign w:val="bottom"/>
            <w:hideMark/>
          </w:tcPr>
          <w:p w14:paraId="36896C91" w14:textId="77777777" w:rsidR="00B415D9" w:rsidRPr="00A850A0" w:rsidRDefault="00B415D9" w:rsidP="00F866EA">
            <w:pPr>
              <w:spacing w:after="0" w:line="240" w:lineRule="auto"/>
              <w:jc w:val="left"/>
              <w:rPr>
                <w:color w:val="000000"/>
              </w:rPr>
            </w:pPr>
            <w:r w:rsidRPr="00A850A0">
              <w:rPr>
                <w:color w:val="000000"/>
              </w:rPr>
              <w:t>Taiwan</w:t>
            </w:r>
          </w:p>
        </w:tc>
        <w:tc>
          <w:tcPr>
            <w:tcW w:w="1160" w:type="dxa"/>
            <w:tcBorders>
              <w:top w:val="nil"/>
              <w:left w:val="nil"/>
              <w:bottom w:val="nil"/>
              <w:right w:val="nil"/>
            </w:tcBorders>
            <w:shd w:val="clear" w:color="auto" w:fill="auto"/>
            <w:noWrap/>
            <w:vAlign w:val="bottom"/>
            <w:hideMark/>
          </w:tcPr>
          <w:p w14:paraId="5116B70A" w14:textId="77777777" w:rsidR="00B415D9" w:rsidRPr="00A850A0" w:rsidRDefault="00B415D9" w:rsidP="00F866EA">
            <w:pPr>
              <w:spacing w:after="0" w:line="240" w:lineRule="auto"/>
              <w:rPr>
                <w:color w:val="000000"/>
              </w:rPr>
            </w:pPr>
            <w:r w:rsidRPr="00A850A0">
              <w:rPr>
                <w:color w:val="000000"/>
              </w:rPr>
              <w:t>.82</w:t>
            </w:r>
          </w:p>
        </w:tc>
        <w:tc>
          <w:tcPr>
            <w:tcW w:w="1160" w:type="dxa"/>
            <w:tcBorders>
              <w:top w:val="nil"/>
              <w:left w:val="nil"/>
              <w:bottom w:val="nil"/>
              <w:right w:val="nil"/>
            </w:tcBorders>
            <w:shd w:val="clear" w:color="auto" w:fill="auto"/>
            <w:noWrap/>
            <w:vAlign w:val="bottom"/>
            <w:hideMark/>
          </w:tcPr>
          <w:p w14:paraId="6F78D598" w14:textId="77777777" w:rsidR="00B415D9" w:rsidRPr="00A850A0" w:rsidRDefault="00B415D9" w:rsidP="00F866EA">
            <w:pPr>
              <w:spacing w:after="0" w:line="240" w:lineRule="auto"/>
              <w:rPr>
                <w:color w:val="000000"/>
              </w:rPr>
            </w:pPr>
            <w:r w:rsidRPr="00A850A0">
              <w:rPr>
                <w:color w:val="000000"/>
              </w:rPr>
              <w:t>.30</w:t>
            </w:r>
          </w:p>
        </w:tc>
        <w:tc>
          <w:tcPr>
            <w:tcW w:w="1160" w:type="dxa"/>
            <w:tcBorders>
              <w:top w:val="nil"/>
              <w:left w:val="nil"/>
              <w:bottom w:val="nil"/>
              <w:right w:val="nil"/>
            </w:tcBorders>
            <w:shd w:val="clear" w:color="auto" w:fill="auto"/>
            <w:noWrap/>
            <w:vAlign w:val="bottom"/>
            <w:hideMark/>
          </w:tcPr>
          <w:p w14:paraId="09A715B1"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69F7E94F" w14:textId="77777777" w:rsidR="00B415D9" w:rsidRPr="00A850A0" w:rsidRDefault="00B415D9" w:rsidP="00F866EA">
            <w:pPr>
              <w:spacing w:after="0" w:line="240" w:lineRule="auto"/>
              <w:rPr>
                <w:color w:val="000000"/>
              </w:rPr>
            </w:pPr>
            <w:r w:rsidRPr="00A850A0">
              <w:rPr>
                <w:color w:val="000000"/>
              </w:rPr>
              <w:t>.68</w:t>
            </w:r>
          </w:p>
        </w:tc>
      </w:tr>
      <w:tr w:rsidR="00B415D9" w:rsidRPr="00A850A0" w14:paraId="2C2993D0" w14:textId="77777777" w:rsidTr="00F866EA">
        <w:trPr>
          <w:trHeight w:val="299"/>
        </w:trPr>
        <w:tc>
          <w:tcPr>
            <w:tcW w:w="1959" w:type="dxa"/>
            <w:tcBorders>
              <w:top w:val="nil"/>
              <w:left w:val="nil"/>
              <w:bottom w:val="nil"/>
              <w:right w:val="nil"/>
            </w:tcBorders>
            <w:shd w:val="clear" w:color="auto" w:fill="auto"/>
            <w:noWrap/>
            <w:vAlign w:val="bottom"/>
            <w:hideMark/>
          </w:tcPr>
          <w:p w14:paraId="34C97CE9" w14:textId="77777777" w:rsidR="00B415D9" w:rsidRPr="00A850A0" w:rsidRDefault="00B415D9" w:rsidP="00F866EA">
            <w:pPr>
              <w:spacing w:after="0" w:line="240" w:lineRule="auto"/>
              <w:jc w:val="left"/>
              <w:rPr>
                <w:color w:val="000000"/>
              </w:rPr>
            </w:pPr>
            <w:r w:rsidRPr="00A850A0">
              <w:rPr>
                <w:color w:val="000000"/>
              </w:rPr>
              <w:t>South Africa</w:t>
            </w:r>
          </w:p>
        </w:tc>
        <w:tc>
          <w:tcPr>
            <w:tcW w:w="1160" w:type="dxa"/>
            <w:tcBorders>
              <w:top w:val="nil"/>
              <w:left w:val="nil"/>
              <w:bottom w:val="nil"/>
              <w:right w:val="nil"/>
            </w:tcBorders>
            <w:shd w:val="clear" w:color="auto" w:fill="auto"/>
            <w:noWrap/>
            <w:vAlign w:val="bottom"/>
            <w:hideMark/>
          </w:tcPr>
          <w:p w14:paraId="30C9C0D3" w14:textId="77777777" w:rsidR="00B415D9" w:rsidRPr="00A850A0" w:rsidRDefault="00B415D9" w:rsidP="00F866EA">
            <w:pPr>
              <w:spacing w:after="0" w:line="240" w:lineRule="auto"/>
              <w:rPr>
                <w:color w:val="000000"/>
              </w:rPr>
            </w:pPr>
            <w:r w:rsidRPr="00A850A0">
              <w:rPr>
                <w:color w:val="000000"/>
              </w:rPr>
              <w:t>.82</w:t>
            </w:r>
          </w:p>
        </w:tc>
        <w:tc>
          <w:tcPr>
            <w:tcW w:w="1160" w:type="dxa"/>
            <w:tcBorders>
              <w:top w:val="nil"/>
              <w:left w:val="nil"/>
              <w:bottom w:val="nil"/>
              <w:right w:val="nil"/>
            </w:tcBorders>
            <w:shd w:val="clear" w:color="auto" w:fill="auto"/>
            <w:noWrap/>
            <w:vAlign w:val="bottom"/>
            <w:hideMark/>
          </w:tcPr>
          <w:p w14:paraId="46F731BF" w14:textId="77777777" w:rsidR="00B415D9" w:rsidRPr="00A850A0" w:rsidRDefault="00B415D9" w:rsidP="00F866EA">
            <w:pPr>
              <w:spacing w:after="0" w:line="240" w:lineRule="auto"/>
              <w:rPr>
                <w:color w:val="000000"/>
              </w:rPr>
            </w:pPr>
            <w:r w:rsidRPr="00A850A0">
              <w:rPr>
                <w:color w:val="000000"/>
              </w:rPr>
              <w:t>.33</w:t>
            </w:r>
          </w:p>
        </w:tc>
        <w:tc>
          <w:tcPr>
            <w:tcW w:w="1160" w:type="dxa"/>
            <w:tcBorders>
              <w:top w:val="nil"/>
              <w:left w:val="nil"/>
              <w:bottom w:val="nil"/>
              <w:right w:val="nil"/>
            </w:tcBorders>
            <w:shd w:val="clear" w:color="auto" w:fill="auto"/>
            <w:noWrap/>
            <w:vAlign w:val="bottom"/>
            <w:hideMark/>
          </w:tcPr>
          <w:p w14:paraId="143C5716"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69E5B3A4" w14:textId="77777777" w:rsidR="00B415D9" w:rsidRPr="00A850A0" w:rsidRDefault="00B415D9" w:rsidP="00F866EA">
            <w:pPr>
              <w:spacing w:after="0" w:line="240" w:lineRule="auto"/>
              <w:rPr>
                <w:color w:val="000000"/>
              </w:rPr>
            </w:pPr>
            <w:r w:rsidRPr="00A850A0">
              <w:rPr>
                <w:color w:val="000000"/>
              </w:rPr>
              <w:t>.67</w:t>
            </w:r>
          </w:p>
        </w:tc>
      </w:tr>
      <w:tr w:rsidR="00B415D9" w:rsidRPr="00A850A0" w14:paraId="5D099727" w14:textId="77777777" w:rsidTr="00F866EA">
        <w:trPr>
          <w:trHeight w:val="299"/>
        </w:trPr>
        <w:tc>
          <w:tcPr>
            <w:tcW w:w="1959" w:type="dxa"/>
            <w:tcBorders>
              <w:top w:val="nil"/>
              <w:left w:val="nil"/>
              <w:bottom w:val="nil"/>
              <w:right w:val="nil"/>
            </w:tcBorders>
            <w:shd w:val="clear" w:color="auto" w:fill="auto"/>
            <w:noWrap/>
            <w:vAlign w:val="bottom"/>
            <w:hideMark/>
          </w:tcPr>
          <w:p w14:paraId="5218685B" w14:textId="77777777" w:rsidR="00B415D9" w:rsidRPr="00A850A0" w:rsidRDefault="00B415D9" w:rsidP="00F866EA">
            <w:pPr>
              <w:spacing w:after="0" w:line="240" w:lineRule="auto"/>
              <w:jc w:val="left"/>
              <w:rPr>
                <w:color w:val="000000"/>
              </w:rPr>
            </w:pPr>
            <w:r w:rsidRPr="00A850A0">
              <w:rPr>
                <w:color w:val="000000"/>
              </w:rPr>
              <w:t>Bulgaria</w:t>
            </w:r>
          </w:p>
        </w:tc>
        <w:tc>
          <w:tcPr>
            <w:tcW w:w="1160" w:type="dxa"/>
            <w:tcBorders>
              <w:top w:val="nil"/>
              <w:left w:val="nil"/>
              <w:bottom w:val="nil"/>
              <w:right w:val="nil"/>
            </w:tcBorders>
            <w:shd w:val="clear" w:color="auto" w:fill="auto"/>
            <w:noWrap/>
            <w:vAlign w:val="bottom"/>
            <w:hideMark/>
          </w:tcPr>
          <w:p w14:paraId="0D684414" w14:textId="77777777" w:rsidR="00B415D9" w:rsidRPr="00A850A0" w:rsidRDefault="00B415D9" w:rsidP="00F866EA">
            <w:pPr>
              <w:spacing w:after="0" w:line="240" w:lineRule="auto"/>
              <w:rPr>
                <w:color w:val="000000"/>
              </w:rPr>
            </w:pPr>
            <w:r w:rsidRPr="00A850A0">
              <w:rPr>
                <w:color w:val="000000"/>
              </w:rPr>
              <w:t>.82</w:t>
            </w:r>
          </w:p>
        </w:tc>
        <w:tc>
          <w:tcPr>
            <w:tcW w:w="1160" w:type="dxa"/>
            <w:tcBorders>
              <w:top w:val="nil"/>
              <w:left w:val="nil"/>
              <w:bottom w:val="nil"/>
              <w:right w:val="nil"/>
            </w:tcBorders>
            <w:shd w:val="clear" w:color="auto" w:fill="auto"/>
            <w:noWrap/>
            <w:vAlign w:val="bottom"/>
            <w:hideMark/>
          </w:tcPr>
          <w:p w14:paraId="74085EA5" w14:textId="77777777" w:rsidR="00B415D9" w:rsidRPr="00A850A0" w:rsidRDefault="00B415D9" w:rsidP="00F866EA">
            <w:pPr>
              <w:spacing w:after="0" w:line="240" w:lineRule="auto"/>
              <w:rPr>
                <w:color w:val="000000"/>
              </w:rPr>
            </w:pPr>
            <w:r w:rsidRPr="00A850A0">
              <w:rPr>
                <w:color w:val="000000"/>
              </w:rPr>
              <w:t>.31</w:t>
            </w:r>
          </w:p>
        </w:tc>
        <w:tc>
          <w:tcPr>
            <w:tcW w:w="1160" w:type="dxa"/>
            <w:tcBorders>
              <w:top w:val="nil"/>
              <w:left w:val="nil"/>
              <w:bottom w:val="nil"/>
              <w:right w:val="nil"/>
            </w:tcBorders>
            <w:shd w:val="clear" w:color="auto" w:fill="auto"/>
            <w:noWrap/>
            <w:vAlign w:val="bottom"/>
            <w:hideMark/>
          </w:tcPr>
          <w:p w14:paraId="0023E6AB"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7C54D202" w14:textId="77777777" w:rsidR="00B415D9" w:rsidRPr="00A850A0" w:rsidRDefault="00B415D9" w:rsidP="00F866EA">
            <w:pPr>
              <w:spacing w:after="0" w:line="240" w:lineRule="auto"/>
              <w:rPr>
                <w:color w:val="000000"/>
              </w:rPr>
            </w:pPr>
            <w:r w:rsidRPr="00A850A0">
              <w:rPr>
                <w:color w:val="000000"/>
              </w:rPr>
              <w:t>.67</w:t>
            </w:r>
          </w:p>
        </w:tc>
      </w:tr>
      <w:tr w:rsidR="00B415D9" w:rsidRPr="00A850A0" w14:paraId="5C0053BA" w14:textId="77777777" w:rsidTr="00F866EA">
        <w:trPr>
          <w:trHeight w:val="299"/>
        </w:trPr>
        <w:tc>
          <w:tcPr>
            <w:tcW w:w="1959" w:type="dxa"/>
            <w:tcBorders>
              <w:top w:val="nil"/>
              <w:left w:val="nil"/>
              <w:bottom w:val="nil"/>
              <w:right w:val="nil"/>
            </w:tcBorders>
            <w:shd w:val="clear" w:color="auto" w:fill="auto"/>
            <w:noWrap/>
            <w:vAlign w:val="bottom"/>
            <w:hideMark/>
          </w:tcPr>
          <w:p w14:paraId="53F8A821" w14:textId="77777777" w:rsidR="00B415D9" w:rsidRPr="00A850A0" w:rsidRDefault="00B415D9" w:rsidP="00F866EA">
            <w:pPr>
              <w:spacing w:after="0" w:line="240" w:lineRule="auto"/>
              <w:jc w:val="left"/>
              <w:rPr>
                <w:color w:val="000000"/>
              </w:rPr>
            </w:pPr>
            <w:r w:rsidRPr="00A850A0">
              <w:rPr>
                <w:color w:val="000000"/>
              </w:rPr>
              <w:t>Denmark</w:t>
            </w:r>
          </w:p>
        </w:tc>
        <w:tc>
          <w:tcPr>
            <w:tcW w:w="1160" w:type="dxa"/>
            <w:tcBorders>
              <w:top w:val="nil"/>
              <w:left w:val="nil"/>
              <w:bottom w:val="nil"/>
              <w:right w:val="nil"/>
            </w:tcBorders>
            <w:shd w:val="clear" w:color="auto" w:fill="auto"/>
            <w:noWrap/>
            <w:vAlign w:val="bottom"/>
            <w:hideMark/>
          </w:tcPr>
          <w:p w14:paraId="0556E896" w14:textId="77777777" w:rsidR="00B415D9" w:rsidRPr="00A850A0" w:rsidRDefault="00B415D9" w:rsidP="00F866EA">
            <w:pPr>
              <w:spacing w:after="0" w:line="240" w:lineRule="auto"/>
              <w:rPr>
                <w:color w:val="000000"/>
              </w:rPr>
            </w:pPr>
            <w:r w:rsidRPr="00A850A0">
              <w:rPr>
                <w:color w:val="000000"/>
              </w:rPr>
              <w:t>.82</w:t>
            </w:r>
          </w:p>
        </w:tc>
        <w:tc>
          <w:tcPr>
            <w:tcW w:w="1160" w:type="dxa"/>
            <w:tcBorders>
              <w:top w:val="nil"/>
              <w:left w:val="nil"/>
              <w:bottom w:val="nil"/>
              <w:right w:val="nil"/>
            </w:tcBorders>
            <w:shd w:val="clear" w:color="auto" w:fill="auto"/>
            <w:noWrap/>
            <w:vAlign w:val="bottom"/>
            <w:hideMark/>
          </w:tcPr>
          <w:p w14:paraId="722579DD" w14:textId="77777777" w:rsidR="00B415D9" w:rsidRPr="00A850A0" w:rsidRDefault="00B415D9" w:rsidP="00F866EA">
            <w:pPr>
              <w:spacing w:after="0" w:line="240" w:lineRule="auto"/>
              <w:rPr>
                <w:color w:val="000000"/>
              </w:rPr>
            </w:pPr>
            <w:r w:rsidRPr="00A850A0">
              <w:rPr>
                <w:color w:val="000000"/>
              </w:rPr>
              <w:t>.26</w:t>
            </w:r>
          </w:p>
        </w:tc>
        <w:tc>
          <w:tcPr>
            <w:tcW w:w="1160" w:type="dxa"/>
            <w:tcBorders>
              <w:top w:val="nil"/>
              <w:left w:val="nil"/>
              <w:bottom w:val="nil"/>
              <w:right w:val="nil"/>
            </w:tcBorders>
            <w:shd w:val="clear" w:color="auto" w:fill="auto"/>
            <w:noWrap/>
            <w:vAlign w:val="bottom"/>
            <w:hideMark/>
          </w:tcPr>
          <w:p w14:paraId="22C0F60B"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5FABC70E" w14:textId="77777777" w:rsidR="00B415D9" w:rsidRPr="00A850A0" w:rsidRDefault="00B415D9" w:rsidP="00F866EA">
            <w:pPr>
              <w:spacing w:after="0" w:line="240" w:lineRule="auto"/>
              <w:rPr>
                <w:color w:val="000000"/>
              </w:rPr>
            </w:pPr>
            <w:r w:rsidRPr="00A850A0">
              <w:rPr>
                <w:color w:val="000000"/>
              </w:rPr>
              <w:t>.67</w:t>
            </w:r>
          </w:p>
        </w:tc>
      </w:tr>
      <w:tr w:rsidR="00B415D9" w:rsidRPr="00A850A0" w14:paraId="39277B3A" w14:textId="77777777" w:rsidTr="00F866EA">
        <w:trPr>
          <w:trHeight w:val="299"/>
        </w:trPr>
        <w:tc>
          <w:tcPr>
            <w:tcW w:w="1959" w:type="dxa"/>
            <w:tcBorders>
              <w:top w:val="nil"/>
              <w:left w:val="nil"/>
              <w:bottom w:val="nil"/>
              <w:right w:val="nil"/>
            </w:tcBorders>
            <w:shd w:val="clear" w:color="auto" w:fill="auto"/>
            <w:noWrap/>
            <w:vAlign w:val="bottom"/>
            <w:hideMark/>
          </w:tcPr>
          <w:p w14:paraId="1398F924" w14:textId="77777777" w:rsidR="00B415D9" w:rsidRPr="00A850A0" w:rsidRDefault="00B415D9" w:rsidP="00F866EA">
            <w:pPr>
              <w:spacing w:after="0" w:line="240" w:lineRule="auto"/>
              <w:jc w:val="left"/>
              <w:rPr>
                <w:color w:val="000000"/>
              </w:rPr>
            </w:pPr>
            <w:r w:rsidRPr="00A850A0">
              <w:rPr>
                <w:color w:val="000000"/>
              </w:rPr>
              <w:lastRenderedPageBreak/>
              <w:t>Georgia</w:t>
            </w:r>
          </w:p>
        </w:tc>
        <w:tc>
          <w:tcPr>
            <w:tcW w:w="1160" w:type="dxa"/>
            <w:tcBorders>
              <w:top w:val="nil"/>
              <w:left w:val="nil"/>
              <w:bottom w:val="nil"/>
              <w:right w:val="nil"/>
            </w:tcBorders>
            <w:shd w:val="clear" w:color="auto" w:fill="auto"/>
            <w:noWrap/>
            <w:vAlign w:val="bottom"/>
            <w:hideMark/>
          </w:tcPr>
          <w:p w14:paraId="6E9A8323" w14:textId="77777777" w:rsidR="00B415D9" w:rsidRPr="00A850A0" w:rsidRDefault="00B415D9" w:rsidP="00F866EA">
            <w:pPr>
              <w:spacing w:after="0" w:line="240" w:lineRule="auto"/>
              <w:rPr>
                <w:color w:val="000000"/>
              </w:rPr>
            </w:pPr>
            <w:r w:rsidRPr="00A850A0">
              <w:rPr>
                <w:color w:val="000000"/>
              </w:rPr>
              <w:t>.81</w:t>
            </w:r>
          </w:p>
        </w:tc>
        <w:tc>
          <w:tcPr>
            <w:tcW w:w="1160" w:type="dxa"/>
            <w:tcBorders>
              <w:top w:val="nil"/>
              <w:left w:val="nil"/>
              <w:bottom w:val="nil"/>
              <w:right w:val="nil"/>
            </w:tcBorders>
            <w:shd w:val="clear" w:color="auto" w:fill="auto"/>
            <w:noWrap/>
            <w:vAlign w:val="bottom"/>
            <w:hideMark/>
          </w:tcPr>
          <w:p w14:paraId="38A5C43C" w14:textId="77777777" w:rsidR="00B415D9" w:rsidRPr="00A850A0" w:rsidRDefault="00B415D9" w:rsidP="00F866EA">
            <w:pPr>
              <w:spacing w:after="0" w:line="240" w:lineRule="auto"/>
              <w:rPr>
                <w:color w:val="000000"/>
              </w:rPr>
            </w:pPr>
            <w:r w:rsidRPr="00A850A0">
              <w:rPr>
                <w:color w:val="000000"/>
              </w:rPr>
              <w:t>.28</w:t>
            </w:r>
          </w:p>
        </w:tc>
        <w:tc>
          <w:tcPr>
            <w:tcW w:w="1160" w:type="dxa"/>
            <w:tcBorders>
              <w:top w:val="nil"/>
              <w:left w:val="nil"/>
              <w:bottom w:val="nil"/>
              <w:right w:val="nil"/>
            </w:tcBorders>
            <w:shd w:val="clear" w:color="auto" w:fill="auto"/>
            <w:noWrap/>
            <w:vAlign w:val="bottom"/>
            <w:hideMark/>
          </w:tcPr>
          <w:p w14:paraId="4A6608A3"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4766430F" w14:textId="77777777" w:rsidR="00B415D9" w:rsidRPr="00A850A0" w:rsidRDefault="00B415D9" w:rsidP="00F866EA">
            <w:pPr>
              <w:spacing w:after="0" w:line="240" w:lineRule="auto"/>
              <w:rPr>
                <w:color w:val="000000"/>
              </w:rPr>
            </w:pPr>
            <w:r w:rsidRPr="00A850A0">
              <w:rPr>
                <w:color w:val="000000"/>
              </w:rPr>
              <w:t>.66</w:t>
            </w:r>
          </w:p>
        </w:tc>
      </w:tr>
      <w:tr w:rsidR="00B415D9" w:rsidRPr="00A850A0" w14:paraId="28BD89CE" w14:textId="77777777" w:rsidTr="00F866EA">
        <w:trPr>
          <w:trHeight w:val="299"/>
        </w:trPr>
        <w:tc>
          <w:tcPr>
            <w:tcW w:w="1959" w:type="dxa"/>
            <w:tcBorders>
              <w:top w:val="nil"/>
              <w:left w:val="nil"/>
              <w:bottom w:val="nil"/>
              <w:right w:val="nil"/>
            </w:tcBorders>
            <w:shd w:val="clear" w:color="auto" w:fill="auto"/>
            <w:noWrap/>
            <w:vAlign w:val="bottom"/>
            <w:hideMark/>
          </w:tcPr>
          <w:p w14:paraId="3AAF45AC" w14:textId="77777777" w:rsidR="00B415D9" w:rsidRPr="00A850A0" w:rsidRDefault="00B415D9" w:rsidP="00F866EA">
            <w:pPr>
              <w:spacing w:after="0" w:line="240" w:lineRule="auto"/>
              <w:jc w:val="left"/>
              <w:rPr>
                <w:color w:val="000000"/>
              </w:rPr>
            </w:pPr>
            <w:r w:rsidRPr="00A850A0">
              <w:rPr>
                <w:color w:val="000000"/>
              </w:rPr>
              <w:t>Austria</w:t>
            </w:r>
          </w:p>
        </w:tc>
        <w:tc>
          <w:tcPr>
            <w:tcW w:w="1160" w:type="dxa"/>
            <w:tcBorders>
              <w:top w:val="nil"/>
              <w:left w:val="nil"/>
              <w:bottom w:val="nil"/>
              <w:right w:val="nil"/>
            </w:tcBorders>
            <w:shd w:val="clear" w:color="auto" w:fill="auto"/>
            <w:noWrap/>
            <w:vAlign w:val="bottom"/>
            <w:hideMark/>
          </w:tcPr>
          <w:p w14:paraId="7110BD02" w14:textId="77777777" w:rsidR="00B415D9" w:rsidRPr="00A850A0" w:rsidRDefault="00B415D9" w:rsidP="00F866EA">
            <w:pPr>
              <w:spacing w:after="0" w:line="240" w:lineRule="auto"/>
              <w:rPr>
                <w:color w:val="000000"/>
              </w:rPr>
            </w:pPr>
            <w:r w:rsidRPr="00A850A0">
              <w:rPr>
                <w:color w:val="000000"/>
              </w:rPr>
              <w:t>.81</w:t>
            </w:r>
          </w:p>
        </w:tc>
        <w:tc>
          <w:tcPr>
            <w:tcW w:w="1160" w:type="dxa"/>
            <w:tcBorders>
              <w:top w:val="nil"/>
              <w:left w:val="nil"/>
              <w:bottom w:val="nil"/>
              <w:right w:val="nil"/>
            </w:tcBorders>
            <w:shd w:val="clear" w:color="auto" w:fill="auto"/>
            <w:noWrap/>
            <w:vAlign w:val="bottom"/>
            <w:hideMark/>
          </w:tcPr>
          <w:p w14:paraId="2A2FFAA7" w14:textId="77777777" w:rsidR="00B415D9" w:rsidRPr="00A850A0" w:rsidRDefault="00B415D9" w:rsidP="00F866EA">
            <w:pPr>
              <w:spacing w:after="0" w:line="240" w:lineRule="auto"/>
              <w:rPr>
                <w:color w:val="000000"/>
              </w:rPr>
            </w:pPr>
            <w:r w:rsidRPr="00A850A0">
              <w:rPr>
                <w:color w:val="000000"/>
              </w:rPr>
              <w:t>.32</w:t>
            </w:r>
          </w:p>
        </w:tc>
        <w:tc>
          <w:tcPr>
            <w:tcW w:w="1160" w:type="dxa"/>
            <w:tcBorders>
              <w:top w:val="nil"/>
              <w:left w:val="nil"/>
              <w:bottom w:val="nil"/>
              <w:right w:val="nil"/>
            </w:tcBorders>
            <w:shd w:val="clear" w:color="auto" w:fill="auto"/>
            <w:noWrap/>
            <w:vAlign w:val="bottom"/>
            <w:hideMark/>
          </w:tcPr>
          <w:p w14:paraId="0DAF9523" w14:textId="77777777" w:rsidR="00B415D9" w:rsidRPr="00A850A0" w:rsidRDefault="00B415D9" w:rsidP="00F866EA">
            <w:pPr>
              <w:spacing w:after="0" w:line="240" w:lineRule="auto"/>
              <w:rPr>
                <w:color w:val="000000"/>
              </w:rPr>
            </w:pPr>
            <w:r w:rsidRPr="00A850A0">
              <w:rPr>
                <w:color w:val="000000"/>
              </w:rPr>
              <w:t>.06</w:t>
            </w:r>
          </w:p>
        </w:tc>
        <w:tc>
          <w:tcPr>
            <w:tcW w:w="1163" w:type="dxa"/>
            <w:tcBorders>
              <w:top w:val="nil"/>
              <w:left w:val="nil"/>
              <w:bottom w:val="nil"/>
              <w:right w:val="nil"/>
            </w:tcBorders>
            <w:shd w:val="clear" w:color="auto" w:fill="auto"/>
            <w:noWrap/>
            <w:vAlign w:val="bottom"/>
            <w:hideMark/>
          </w:tcPr>
          <w:p w14:paraId="23F92999" w14:textId="77777777" w:rsidR="00B415D9" w:rsidRPr="00A850A0" w:rsidRDefault="00B415D9" w:rsidP="00F866EA">
            <w:pPr>
              <w:spacing w:after="0" w:line="240" w:lineRule="auto"/>
              <w:rPr>
                <w:color w:val="000000"/>
              </w:rPr>
            </w:pPr>
            <w:r w:rsidRPr="00A850A0">
              <w:rPr>
                <w:color w:val="000000"/>
              </w:rPr>
              <w:t>.66</w:t>
            </w:r>
          </w:p>
        </w:tc>
      </w:tr>
      <w:tr w:rsidR="00B415D9" w:rsidRPr="00A850A0" w14:paraId="4719D76F" w14:textId="77777777" w:rsidTr="00F866EA">
        <w:trPr>
          <w:trHeight w:val="299"/>
        </w:trPr>
        <w:tc>
          <w:tcPr>
            <w:tcW w:w="1959" w:type="dxa"/>
            <w:tcBorders>
              <w:top w:val="nil"/>
              <w:left w:val="nil"/>
              <w:bottom w:val="nil"/>
              <w:right w:val="nil"/>
            </w:tcBorders>
            <w:shd w:val="clear" w:color="auto" w:fill="auto"/>
            <w:noWrap/>
            <w:vAlign w:val="bottom"/>
            <w:hideMark/>
          </w:tcPr>
          <w:p w14:paraId="0A5C78A9" w14:textId="77777777" w:rsidR="00B415D9" w:rsidRPr="00A850A0" w:rsidRDefault="00B415D9" w:rsidP="00F866EA">
            <w:pPr>
              <w:spacing w:after="0" w:line="240" w:lineRule="auto"/>
              <w:jc w:val="left"/>
              <w:rPr>
                <w:color w:val="000000"/>
              </w:rPr>
            </w:pPr>
            <w:r w:rsidRPr="00A850A0">
              <w:rPr>
                <w:color w:val="000000"/>
              </w:rPr>
              <w:t>Israel</w:t>
            </w:r>
          </w:p>
        </w:tc>
        <w:tc>
          <w:tcPr>
            <w:tcW w:w="1160" w:type="dxa"/>
            <w:tcBorders>
              <w:top w:val="nil"/>
              <w:left w:val="nil"/>
              <w:bottom w:val="nil"/>
              <w:right w:val="nil"/>
            </w:tcBorders>
            <w:shd w:val="clear" w:color="auto" w:fill="auto"/>
            <w:noWrap/>
            <w:vAlign w:val="bottom"/>
            <w:hideMark/>
          </w:tcPr>
          <w:p w14:paraId="188D9030" w14:textId="77777777" w:rsidR="00B415D9" w:rsidRPr="00A850A0" w:rsidRDefault="00B415D9" w:rsidP="00F866EA">
            <w:pPr>
              <w:spacing w:after="0" w:line="240" w:lineRule="auto"/>
              <w:rPr>
                <w:color w:val="000000"/>
              </w:rPr>
            </w:pPr>
            <w:r w:rsidRPr="00A850A0">
              <w:rPr>
                <w:color w:val="000000"/>
              </w:rPr>
              <w:t>.81</w:t>
            </w:r>
          </w:p>
        </w:tc>
        <w:tc>
          <w:tcPr>
            <w:tcW w:w="1160" w:type="dxa"/>
            <w:tcBorders>
              <w:top w:val="nil"/>
              <w:left w:val="nil"/>
              <w:bottom w:val="nil"/>
              <w:right w:val="nil"/>
            </w:tcBorders>
            <w:shd w:val="clear" w:color="auto" w:fill="auto"/>
            <w:noWrap/>
            <w:vAlign w:val="bottom"/>
            <w:hideMark/>
          </w:tcPr>
          <w:p w14:paraId="09E13C09" w14:textId="77777777" w:rsidR="00B415D9" w:rsidRPr="00A850A0" w:rsidRDefault="00B415D9" w:rsidP="00F866EA">
            <w:pPr>
              <w:spacing w:after="0" w:line="240" w:lineRule="auto"/>
              <w:rPr>
                <w:color w:val="000000"/>
              </w:rPr>
            </w:pPr>
            <w:r w:rsidRPr="00A850A0">
              <w:rPr>
                <w:color w:val="000000"/>
              </w:rPr>
              <w:t>.45</w:t>
            </w:r>
          </w:p>
        </w:tc>
        <w:tc>
          <w:tcPr>
            <w:tcW w:w="1160" w:type="dxa"/>
            <w:tcBorders>
              <w:top w:val="nil"/>
              <w:left w:val="nil"/>
              <w:bottom w:val="nil"/>
              <w:right w:val="nil"/>
            </w:tcBorders>
            <w:shd w:val="clear" w:color="auto" w:fill="auto"/>
            <w:noWrap/>
            <w:vAlign w:val="bottom"/>
            <w:hideMark/>
          </w:tcPr>
          <w:p w14:paraId="20C8DA65" w14:textId="77777777" w:rsidR="00B415D9" w:rsidRPr="00A850A0" w:rsidRDefault="00B415D9" w:rsidP="00F866EA">
            <w:pPr>
              <w:spacing w:after="0" w:line="240" w:lineRule="auto"/>
              <w:rPr>
                <w:color w:val="000000"/>
              </w:rPr>
            </w:pPr>
            <w:r w:rsidRPr="00A850A0">
              <w:rPr>
                <w:color w:val="000000"/>
              </w:rPr>
              <w:t>.06</w:t>
            </w:r>
          </w:p>
        </w:tc>
        <w:tc>
          <w:tcPr>
            <w:tcW w:w="1163" w:type="dxa"/>
            <w:tcBorders>
              <w:top w:val="nil"/>
              <w:left w:val="nil"/>
              <w:bottom w:val="nil"/>
              <w:right w:val="nil"/>
            </w:tcBorders>
            <w:shd w:val="clear" w:color="auto" w:fill="auto"/>
            <w:noWrap/>
            <w:vAlign w:val="bottom"/>
            <w:hideMark/>
          </w:tcPr>
          <w:p w14:paraId="546F2636" w14:textId="77777777" w:rsidR="00B415D9" w:rsidRPr="00A850A0" w:rsidRDefault="00B415D9" w:rsidP="00F866EA">
            <w:pPr>
              <w:spacing w:after="0" w:line="240" w:lineRule="auto"/>
              <w:rPr>
                <w:color w:val="000000"/>
              </w:rPr>
            </w:pPr>
            <w:r w:rsidRPr="00A850A0">
              <w:rPr>
                <w:color w:val="000000"/>
              </w:rPr>
              <w:t>.66</w:t>
            </w:r>
          </w:p>
        </w:tc>
      </w:tr>
      <w:tr w:rsidR="00B415D9" w:rsidRPr="00A850A0" w14:paraId="169EFC40" w14:textId="77777777" w:rsidTr="00F866EA">
        <w:trPr>
          <w:trHeight w:val="299"/>
        </w:trPr>
        <w:tc>
          <w:tcPr>
            <w:tcW w:w="1959" w:type="dxa"/>
            <w:tcBorders>
              <w:top w:val="nil"/>
              <w:left w:val="nil"/>
              <w:bottom w:val="nil"/>
              <w:right w:val="nil"/>
            </w:tcBorders>
            <w:shd w:val="clear" w:color="auto" w:fill="auto"/>
            <w:noWrap/>
            <w:vAlign w:val="bottom"/>
            <w:hideMark/>
          </w:tcPr>
          <w:p w14:paraId="456A93CB" w14:textId="77777777" w:rsidR="00B415D9" w:rsidRPr="00A850A0" w:rsidRDefault="00B415D9" w:rsidP="00F866EA">
            <w:pPr>
              <w:spacing w:after="0" w:line="240" w:lineRule="auto"/>
              <w:jc w:val="left"/>
              <w:rPr>
                <w:color w:val="000000"/>
              </w:rPr>
            </w:pPr>
            <w:r w:rsidRPr="00A850A0">
              <w:rPr>
                <w:color w:val="000000"/>
              </w:rPr>
              <w:t>Estonia</w:t>
            </w:r>
          </w:p>
        </w:tc>
        <w:tc>
          <w:tcPr>
            <w:tcW w:w="1160" w:type="dxa"/>
            <w:tcBorders>
              <w:top w:val="nil"/>
              <w:left w:val="nil"/>
              <w:bottom w:val="nil"/>
              <w:right w:val="nil"/>
            </w:tcBorders>
            <w:shd w:val="clear" w:color="auto" w:fill="auto"/>
            <w:noWrap/>
            <w:vAlign w:val="bottom"/>
            <w:hideMark/>
          </w:tcPr>
          <w:p w14:paraId="24B49DC0" w14:textId="77777777" w:rsidR="00B415D9" w:rsidRPr="00A850A0" w:rsidRDefault="00B415D9" w:rsidP="00F866EA">
            <w:pPr>
              <w:spacing w:after="0" w:line="240" w:lineRule="auto"/>
              <w:rPr>
                <w:color w:val="000000"/>
              </w:rPr>
            </w:pPr>
            <w:r w:rsidRPr="00A850A0">
              <w:rPr>
                <w:color w:val="000000"/>
              </w:rPr>
              <w:t>.81</w:t>
            </w:r>
          </w:p>
        </w:tc>
        <w:tc>
          <w:tcPr>
            <w:tcW w:w="1160" w:type="dxa"/>
            <w:tcBorders>
              <w:top w:val="nil"/>
              <w:left w:val="nil"/>
              <w:bottom w:val="nil"/>
              <w:right w:val="nil"/>
            </w:tcBorders>
            <w:shd w:val="clear" w:color="auto" w:fill="auto"/>
            <w:noWrap/>
            <w:vAlign w:val="bottom"/>
            <w:hideMark/>
          </w:tcPr>
          <w:p w14:paraId="4014A1C5" w14:textId="77777777" w:rsidR="00B415D9" w:rsidRPr="00A850A0" w:rsidRDefault="00B415D9" w:rsidP="00F866EA">
            <w:pPr>
              <w:spacing w:after="0" w:line="240" w:lineRule="auto"/>
              <w:rPr>
                <w:color w:val="000000"/>
              </w:rPr>
            </w:pPr>
            <w:r w:rsidRPr="00A850A0">
              <w:rPr>
                <w:color w:val="000000"/>
              </w:rPr>
              <w:t>.32</w:t>
            </w:r>
          </w:p>
        </w:tc>
        <w:tc>
          <w:tcPr>
            <w:tcW w:w="1160" w:type="dxa"/>
            <w:tcBorders>
              <w:top w:val="nil"/>
              <w:left w:val="nil"/>
              <w:bottom w:val="nil"/>
              <w:right w:val="nil"/>
            </w:tcBorders>
            <w:shd w:val="clear" w:color="auto" w:fill="auto"/>
            <w:noWrap/>
            <w:vAlign w:val="bottom"/>
            <w:hideMark/>
          </w:tcPr>
          <w:p w14:paraId="728EE64B"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6F25C261" w14:textId="77777777" w:rsidR="00B415D9" w:rsidRPr="00A850A0" w:rsidRDefault="00B415D9" w:rsidP="00F866EA">
            <w:pPr>
              <w:spacing w:after="0" w:line="240" w:lineRule="auto"/>
              <w:rPr>
                <w:color w:val="000000"/>
              </w:rPr>
            </w:pPr>
            <w:r w:rsidRPr="00A850A0">
              <w:rPr>
                <w:color w:val="000000"/>
              </w:rPr>
              <w:t>.65</w:t>
            </w:r>
          </w:p>
        </w:tc>
      </w:tr>
      <w:tr w:rsidR="00B415D9" w:rsidRPr="00A850A0" w14:paraId="111202C5" w14:textId="77777777" w:rsidTr="00F866EA">
        <w:trPr>
          <w:trHeight w:val="299"/>
        </w:trPr>
        <w:tc>
          <w:tcPr>
            <w:tcW w:w="1959" w:type="dxa"/>
            <w:tcBorders>
              <w:top w:val="nil"/>
              <w:left w:val="nil"/>
              <w:bottom w:val="nil"/>
              <w:right w:val="nil"/>
            </w:tcBorders>
            <w:shd w:val="clear" w:color="auto" w:fill="auto"/>
            <w:noWrap/>
            <w:vAlign w:val="bottom"/>
            <w:hideMark/>
          </w:tcPr>
          <w:p w14:paraId="6C3FE436" w14:textId="77777777" w:rsidR="00B415D9" w:rsidRPr="00A850A0" w:rsidRDefault="00B415D9" w:rsidP="00F866EA">
            <w:pPr>
              <w:spacing w:after="0" w:line="240" w:lineRule="auto"/>
              <w:jc w:val="left"/>
              <w:rPr>
                <w:color w:val="000000"/>
              </w:rPr>
            </w:pPr>
            <w:r w:rsidRPr="00A850A0">
              <w:rPr>
                <w:color w:val="000000"/>
              </w:rPr>
              <w:t>Vietnam</w:t>
            </w:r>
          </w:p>
        </w:tc>
        <w:tc>
          <w:tcPr>
            <w:tcW w:w="1160" w:type="dxa"/>
            <w:tcBorders>
              <w:top w:val="nil"/>
              <w:left w:val="nil"/>
              <w:bottom w:val="nil"/>
              <w:right w:val="nil"/>
            </w:tcBorders>
            <w:shd w:val="clear" w:color="auto" w:fill="auto"/>
            <w:noWrap/>
            <w:vAlign w:val="bottom"/>
            <w:hideMark/>
          </w:tcPr>
          <w:p w14:paraId="6A22D7F6" w14:textId="77777777" w:rsidR="00B415D9" w:rsidRPr="00A850A0" w:rsidRDefault="00B415D9" w:rsidP="00F866EA">
            <w:pPr>
              <w:spacing w:after="0" w:line="240" w:lineRule="auto"/>
              <w:rPr>
                <w:color w:val="000000"/>
              </w:rPr>
            </w:pPr>
            <w:r w:rsidRPr="00A850A0">
              <w:rPr>
                <w:color w:val="000000"/>
              </w:rPr>
              <w:t>.81</w:t>
            </w:r>
          </w:p>
        </w:tc>
        <w:tc>
          <w:tcPr>
            <w:tcW w:w="1160" w:type="dxa"/>
            <w:tcBorders>
              <w:top w:val="nil"/>
              <w:left w:val="nil"/>
              <w:bottom w:val="nil"/>
              <w:right w:val="nil"/>
            </w:tcBorders>
            <w:shd w:val="clear" w:color="auto" w:fill="auto"/>
            <w:noWrap/>
            <w:vAlign w:val="bottom"/>
            <w:hideMark/>
          </w:tcPr>
          <w:p w14:paraId="55C3EB62" w14:textId="77777777" w:rsidR="00B415D9" w:rsidRPr="00A850A0" w:rsidRDefault="00B415D9" w:rsidP="00F866EA">
            <w:pPr>
              <w:spacing w:after="0" w:line="240" w:lineRule="auto"/>
              <w:rPr>
                <w:color w:val="000000"/>
              </w:rPr>
            </w:pPr>
            <w:r w:rsidRPr="00A850A0">
              <w:rPr>
                <w:color w:val="000000"/>
              </w:rPr>
              <w:t>.30</w:t>
            </w:r>
          </w:p>
        </w:tc>
        <w:tc>
          <w:tcPr>
            <w:tcW w:w="1160" w:type="dxa"/>
            <w:tcBorders>
              <w:top w:val="nil"/>
              <w:left w:val="nil"/>
              <w:bottom w:val="nil"/>
              <w:right w:val="nil"/>
            </w:tcBorders>
            <w:shd w:val="clear" w:color="auto" w:fill="auto"/>
            <w:noWrap/>
            <w:vAlign w:val="bottom"/>
            <w:hideMark/>
          </w:tcPr>
          <w:p w14:paraId="5829E179"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59BBB4C0" w14:textId="77777777" w:rsidR="00B415D9" w:rsidRPr="00A850A0" w:rsidRDefault="00B415D9" w:rsidP="00F866EA">
            <w:pPr>
              <w:spacing w:after="0" w:line="240" w:lineRule="auto"/>
              <w:rPr>
                <w:color w:val="000000"/>
              </w:rPr>
            </w:pPr>
            <w:r w:rsidRPr="00A850A0">
              <w:rPr>
                <w:color w:val="000000"/>
              </w:rPr>
              <w:t>.65</w:t>
            </w:r>
          </w:p>
        </w:tc>
      </w:tr>
      <w:tr w:rsidR="00B415D9" w:rsidRPr="00A850A0" w14:paraId="55EDDABD" w14:textId="77777777" w:rsidTr="00F866EA">
        <w:trPr>
          <w:trHeight w:val="299"/>
        </w:trPr>
        <w:tc>
          <w:tcPr>
            <w:tcW w:w="1959" w:type="dxa"/>
            <w:tcBorders>
              <w:top w:val="nil"/>
              <w:left w:val="nil"/>
              <w:bottom w:val="nil"/>
              <w:right w:val="nil"/>
            </w:tcBorders>
            <w:shd w:val="clear" w:color="auto" w:fill="auto"/>
            <w:noWrap/>
            <w:vAlign w:val="bottom"/>
            <w:hideMark/>
          </w:tcPr>
          <w:p w14:paraId="7B00EAF2" w14:textId="77777777" w:rsidR="00B415D9" w:rsidRPr="00A850A0" w:rsidRDefault="00B415D9" w:rsidP="00F866EA">
            <w:pPr>
              <w:spacing w:after="0" w:line="240" w:lineRule="auto"/>
              <w:jc w:val="left"/>
              <w:rPr>
                <w:color w:val="000000"/>
              </w:rPr>
            </w:pPr>
            <w:r w:rsidRPr="00A850A0">
              <w:rPr>
                <w:color w:val="000000"/>
              </w:rPr>
              <w:t>United States</w:t>
            </w:r>
          </w:p>
        </w:tc>
        <w:tc>
          <w:tcPr>
            <w:tcW w:w="1160" w:type="dxa"/>
            <w:tcBorders>
              <w:top w:val="nil"/>
              <w:left w:val="nil"/>
              <w:bottom w:val="nil"/>
              <w:right w:val="nil"/>
            </w:tcBorders>
            <w:shd w:val="clear" w:color="auto" w:fill="auto"/>
            <w:noWrap/>
            <w:vAlign w:val="bottom"/>
            <w:hideMark/>
          </w:tcPr>
          <w:p w14:paraId="6D424CA2" w14:textId="77777777" w:rsidR="00B415D9" w:rsidRPr="00A850A0" w:rsidRDefault="00B415D9" w:rsidP="00F866EA">
            <w:pPr>
              <w:spacing w:after="0" w:line="240" w:lineRule="auto"/>
              <w:rPr>
                <w:color w:val="000000"/>
              </w:rPr>
            </w:pPr>
            <w:r w:rsidRPr="00A850A0">
              <w:rPr>
                <w:color w:val="000000"/>
              </w:rPr>
              <w:t>.81</w:t>
            </w:r>
          </w:p>
        </w:tc>
        <w:tc>
          <w:tcPr>
            <w:tcW w:w="1160" w:type="dxa"/>
            <w:tcBorders>
              <w:top w:val="nil"/>
              <w:left w:val="nil"/>
              <w:bottom w:val="nil"/>
              <w:right w:val="nil"/>
            </w:tcBorders>
            <w:shd w:val="clear" w:color="auto" w:fill="auto"/>
            <w:noWrap/>
            <w:vAlign w:val="bottom"/>
            <w:hideMark/>
          </w:tcPr>
          <w:p w14:paraId="2382D379" w14:textId="77777777" w:rsidR="00B415D9" w:rsidRPr="00A850A0" w:rsidRDefault="00B415D9" w:rsidP="00F866EA">
            <w:pPr>
              <w:spacing w:after="0" w:line="240" w:lineRule="auto"/>
              <w:rPr>
                <w:color w:val="000000"/>
              </w:rPr>
            </w:pPr>
            <w:r w:rsidRPr="00A850A0">
              <w:rPr>
                <w:color w:val="000000"/>
              </w:rPr>
              <w:t>.32</w:t>
            </w:r>
          </w:p>
        </w:tc>
        <w:tc>
          <w:tcPr>
            <w:tcW w:w="1160" w:type="dxa"/>
            <w:tcBorders>
              <w:top w:val="nil"/>
              <w:left w:val="nil"/>
              <w:bottom w:val="nil"/>
              <w:right w:val="nil"/>
            </w:tcBorders>
            <w:shd w:val="clear" w:color="auto" w:fill="auto"/>
            <w:noWrap/>
            <w:vAlign w:val="bottom"/>
            <w:hideMark/>
          </w:tcPr>
          <w:p w14:paraId="6CF77CBB" w14:textId="77777777" w:rsidR="00B415D9" w:rsidRPr="00A850A0" w:rsidRDefault="00B415D9" w:rsidP="00F866EA">
            <w:pPr>
              <w:spacing w:after="0" w:line="240" w:lineRule="auto"/>
              <w:rPr>
                <w:color w:val="000000"/>
              </w:rPr>
            </w:pPr>
            <w:r w:rsidRPr="00A850A0">
              <w:rPr>
                <w:color w:val="000000"/>
              </w:rPr>
              <w:t>.01</w:t>
            </w:r>
          </w:p>
        </w:tc>
        <w:tc>
          <w:tcPr>
            <w:tcW w:w="1163" w:type="dxa"/>
            <w:tcBorders>
              <w:top w:val="nil"/>
              <w:left w:val="nil"/>
              <w:bottom w:val="nil"/>
              <w:right w:val="nil"/>
            </w:tcBorders>
            <w:shd w:val="clear" w:color="auto" w:fill="auto"/>
            <w:noWrap/>
            <w:vAlign w:val="bottom"/>
            <w:hideMark/>
          </w:tcPr>
          <w:p w14:paraId="6D78FF7A" w14:textId="77777777" w:rsidR="00B415D9" w:rsidRPr="00A850A0" w:rsidRDefault="00B415D9" w:rsidP="00F866EA">
            <w:pPr>
              <w:spacing w:after="0" w:line="240" w:lineRule="auto"/>
              <w:rPr>
                <w:color w:val="000000"/>
              </w:rPr>
            </w:pPr>
            <w:r w:rsidRPr="00A850A0">
              <w:rPr>
                <w:color w:val="000000"/>
              </w:rPr>
              <w:t>.65</w:t>
            </w:r>
          </w:p>
        </w:tc>
      </w:tr>
      <w:tr w:rsidR="00B415D9" w:rsidRPr="00A850A0" w14:paraId="1A4808B8" w14:textId="77777777" w:rsidTr="00F866EA">
        <w:trPr>
          <w:trHeight w:val="299"/>
        </w:trPr>
        <w:tc>
          <w:tcPr>
            <w:tcW w:w="1959" w:type="dxa"/>
            <w:tcBorders>
              <w:top w:val="nil"/>
              <w:left w:val="nil"/>
              <w:bottom w:val="nil"/>
              <w:right w:val="nil"/>
            </w:tcBorders>
            <w:shd w:val="clear" w:color="auto" w:fill="auto"/>
            <w:noWrap/>
            <w:vAlign w:val="bottom"/>
            <w:hideMark/>
          </w:tcPr>
          <w:p w14:paraId="20ED6266" w14:textId="77777777" w:rsidR="00B415D9" w:rsidRPr="00A850A0" w:rsidRDefault="00B415D9" w:rsidP="00F866EA">
            <w:pPr>
              <w:spacing w:after="0" w:line="240" w:lineRule="auto"/>
              <w:jc w:val="left"/>
              <w:rPr>
                <w:color w:val="000000"/>
              </w:rPr>
            </w:pPr>
            <w:r w:rsidRPr="00A850A0">
              <w:rPr>
                <w:color w:val="000000"/>
              </w:rPr>
              <w:t>Australia</w:t>
            </w:r>
          </w:p>
        </w:tc>
        <w:tc>
          <w:tcPr>
            <w:tcW w:w="1160" w:type="dxa"/>
            <w:tcBorders>
              <w:top w:val="nil"/>
              <w:left w:val="nil"/>
              <w:bottom w:val="nil"/>
              <w:right w:val="nil"/>
            </w:tcBorders>
            <w:shd w:val="clear" w:color="auto" w:fill="auto"/>
            <w:noWrap/>
            <w:vAlign w:val="bottom"/>
            <w:hideMark/>
          </w:tcPr>
          <w:p w14:paraId="4DE49F72" w14:textId="77777777" w:rsidR="00B415D9" w:rsidRPr="00A850A0" w:rsidRDefault="00B415D9" w:rsidP="00F866EA">
            <w:pPr>
              <w:spacing w:after="0" w:line="240" w:lineRule="auto"/>
              <w:rPr>
                <w:color w:val="000000"/>
              </w:rPr>
            </w:pPr>
            <w:r w:rsidRPr="00A850A0">
              <w:rPr>
                <w:color w:val="000000"/>
              </w:rPr>
              <w:t>.80</w:t>
            </w:r>
          </w:p>
        </w:tc>
        <w:tc>
          <w:tcPr>
            <w:tcW w:w="1160" w:type="dxa"/>
            <w:tcBorders>
              <w:top w:val="nil"/>
              <w:left w:val="nil"/>
              <w:bottom w:val="nil"/>
              <w:right w:val="nil"/>
            </w:tcBorders>
            <w:shd w:val="clear" w:color="auto" w:fill="auto"/>
            <w:noWrap/>
            <w:vAlign w:val="bottom"/>
            <w:hideMark/>
          </w:tcPr>
          <w:p w14:paraId="56C5C1B0" w14:textId="77777777" w:rsidR="00B415D9" w:rsidRPr="00A850A0" w:rsidRDefault="00B415D9" w:rsidP="00F866EA">
            <w:pPr>
              <w:spacing w:after="0" w:line="240" w:lineRule="auto"/>
              <w:rPr>
                <w:color w:val="000000"/>
              </w:rPr>
            </w:pPr>
            <w:r w:rsidRPr="00A850A0">
              <w:rPr>
                <w:color w:val="000000"/>
              </w:rPr>
              <w:t>.27</w:t>
            </w:r>
          </w:p>
        </w:tc>
        <w:tc>
          <w:tcPr>
            <w:tcW w:w="1160" w:type="dxa"/>
            <w:tcBorders>
              <w:top w:val="nil"/>
              <w:left w:val="nil"/>
              <w:bottom w:val="nil"/>
              <w:right w:val="nil"/>
            </w:tcBorders>
            <w:shd w:val="clear" w:color="auto" w:fill="auto"/>
            <w:noWrap/>
            <w:vAlign w:val="bottom"/>
            <w:hideMark/>
          </w:tcPr>
          <w:p w14:paraId="7BA45EA4"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6BCFB462" w14:textId="77777777" w:rsidR="00B415D9" w:rsidRPr="00A850A0" w:rsidRDefault="00B415D9" w:rsidP="00F866EA">
            <w:pPr>
              <w:spacing w:after="0" w:line="240" w:lineRule="auto"/>
              <w:rPr>
                <w:color w:val="000000"/>
              </w:rPr>
            </w:pPr>
            <w:r w:rsidRPr="00A850A0">
              <w:rPr>
                <w:color w:val="000000"/>
              </w:rPr>
              <w:t>.64</w:t>
            </w:r>
          </w:p>
        </w:tc>
      </w:tr>
      <w:tr w:rsidR="00B415D9" w:rsidRPr="00A850A0" w14:paraId="5F61837C" w14:textId="77777777" w:rsidTr="00F866EA">
        <w:trPr>
          <w:trHeight w:val="299"/>
        </w:trPr>
        <w:tc>
          <w:tcPr>
            <w:tcW w:w="1959" w:type="dxa"/>
            <w:tcBorders>
              <w:top w:val="nil"/>
              <w:left w:val="nil"/>
              <w:bottom w:val="nil"/>
              <w:right w:val="nil"/>
            </w:tcBorders>
            <w:shd w:val="clear" w:color="auto" w:fill="auto"/>
            <w:noWrap/>
            <w:vAlign w:val="bottom"/>
            <w:hideMark/>
          </w:tcPr>
          <w:p w14:paraId="58832AB9" w14:textId="77777777" w:rsidR="00B415D9" w:rsidRPr="00A850A0" w:rsidRDefault="00B415D9" w:rsidP="00F866EA">
            <w:pPr>
              <w:spacing w:after="0" w:line="240" w:lineRule="auto"/>
              <w:jc w:val="left"/>
              <w:rPr>
                <w:color w:val="000000"/>
              </w:rPr>
            </w:pPr>
            <w:r w:rsidRPr="00A850A0">
              <w:rPr>
                <w:color w:val="000000"/>
              </w:rPr>
              <w:t>Ukraine</w:t>
            </w:r>
          </w:p>
        </w:tc>
        <w:tc>
          <w:tcPr>
            <w:tcW w:w="1160" w:type="dxa"/>
            <w:tcBorders>
              <w:top w:val="nil"/>
              <w:left w:val="nil"/>
              <w:bottom w:val="nil"/>
              <w:right w:val="nil"/>
            </w:tcBorders>
            <w:shd w:val="clear" w:color="auto" w:fill="auto"/>
            <w:noWrap/>
            <w:vAlign w:val="bottom"/>
            <w:hideMark/>
          </w:tcPr>
          <w:p w14:paraId="3B0AD7AB" w14:textId="77777777" w:rsidR="00B415D9" w:rsidRPr="00A850A0" w:rsidRDefault="00B415D9" w:rsidP="00F866EA">
            <w:pPr>
              <w:spacing w:after="0" w:line="240" w:lineRule="auto"/>
              <w:rPr>
                <w:color w:val="000000"/>
              </w:rPr>
            </w:pPr>
            <w:r w:rsidRPr="00A850A0">
              <w:rPr>
                <w:color w:val="000000"/>
              </w:rPr>
              <w:t>.80</w:t>
            </w:r>
          </w:p>
        </w:tc>
        <w:tc>
          <w:tcPr>
            <w:tcW w:w="1160" w:type="dxa"/>
            <w:tcBorders>
              <w:top w:val="nil"/>
              <w:left w:val="nil"/>
              <w:bottom w:val="nil"/>
              <w:right w:val="nil"/>
            </w:tcBorders>
            <w:shd w:val="clear" w:color="auto" w:fill="auto"/>
            <w:noWrap/>
            <w:vAlign w:val="bottom"/>
            <w:hideMark/>
          </w:tcPr>
          <w:p w14:paraId="2A009A82" w14:textId="77777777" w:rsidR="00B415D9" w:rsidRPr="00A850A0" w:rsidRDefault="00B415D9" w:rsidP="00F866EA">
            <w:pPr>
              <w:spacing w:after="0" w:line="240" w:lineRule="auto"/>
              <w:rPr>
                <w:color w:val="000000"/>
              </w:rPr>
            </w:pPr>
            <w:r w:rsidRPr="00A850A0">
              <w:rPr>
                <w:color w:val="000000"/>
              </w:rPr>
              <w:t>.38</w:t>
            </w:r>
          </w:p>
        </w:tc>
        <w:tc>
          <w:tcPr>
            <w:tcW w:w="1160" w:type="dxa"/>
            <w:tcBorders>
              <w:top w:val="nil"/>
              <w:left w:val="nil"/>
              <w:bottom w:val="nil"/>
              <w:right w:val="nil"/>
            </w:tcBorders>
            <w:shd w:val="clear" w:color="auto" w:fill="auto"/>
            <w:noWrap/>
            <w:vAlign w:val="bottom"/>
            <w:hideMark/>
          </w:tcPr>
          <w:p w14:paraId="74342977"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1027BBEF" w14:textId="77777777" w:rsidR="00B415D9" w:rsidRPr="00A850A0" w:rsidRDefault="00B415D9" w:rsidP="00F866EA">
            <w:pPr>
              <w:spacing w:after="0" w:line="240" w:lineRule="auto"/>
              <w:rPr>
                <w:color w:val="000000"/>
              </w:rPr>
            </w:pPr>
            <w:r w:rsidRPr="00A850A0">
              <w:rPr>
                <w:color w:val="000000"/>
              </w:rPr>
              <w:t>.63</w:t>
            </w:r>
          </w:p>
        </w:tc>
      </w:tr>
      <w:tr w:rsidR="00B415D9" w:rsidRPr="00A850A0" w14:paraId="4688FC21" w14:textId="77777777" w:rsidTr="00F866EA">
        <w:trPr>
          <w:trHeight w:val="299"/>
        </w:trPr>
        <w:tc>
          <w:tcPr>
            <w:tcW w:w="1959" w:type="dxa"/>
            <w:tcBorders>
              <w:top w:val="nil"/>
              <w:left w:val="nil"/>
              <w:bottom w:val="nil"/>
              <w:right w:val="nil"/>
            </w:tcBorders>
            <w:shd w:val="clear" w:color="auto" w:fill="auto"/>
            <w:noWrap/>
            <w:vAlign w:val="bottom"/>
            <w:hideMark/>
          </w:tcPr>
          <w:p w14:paraId="3AFE06B6" w14:textId="77777777" w:rsidR="00B415D9" w:rsidRPr="00A850A0" w:rsidRDefault="00B415D9" w:rsidP="00F866EA">
            <w:pPr>
              <w:spacing w:after="0" w:line="240" w:lineRule="auto"/>
              <w:jc w:val="left"/>
              <w:rPr>
                <w:color w:val="000000"/>
              </w:rPr>
            </w:pPr>
            <w:r w:rsidRPr="00A850A0">
              <w:rPr>
                <w:color w:val="000000"/>
              </w:rPr>
              <w:t>Kenya</w:t>
            </w:r>
          </w:p>
        </w:tc>
        <w:tc>
          <w:tcPr>
            <w:tcW w:w="1160" w:type="dxa"/>
            <w:tcBorders>
              <w:top w:val="nil"/>
              <w:left w:val="nil"/>
              <w:bottom w:val="nil"/>
              <w:right w:val="nil"/>
            </w:tcBorders>
            <w:shd w:val="clear" w:color="auto" w:fill="auto"/>
            <w:noWrap/>
            <w:vAlign w:val="bottom"/>
            <w:hideMark/>
          </w:tcPr>
          <w:p w14:paraId="3E5445B7" w14:textId="77777777" w:rsidR="00B415D9" w:rsidRPr="00A850A0" w:rsidRDefault="00B415D9" w:rsidP="00F866EA">
            <w:pPr>
              <w:spacing w:after="0" w:line="240" w:lineRule="auto"/>
              <w:rPr>
                <w:color w:val="000000"/>
              </w:rPr>
            </w:pPr>
            <w:r w:rsidRPr="00A850A0">
              <w:rPr>
                <w:color w:val="000000"/>
              </w:rPr>
              <w:t>.79</w:t>
            </w:r>
          </w:p>
        </w:tc>
        <w:tc>
          <w:tcPr>
            <w:tcW w:w="1160" w:type="dxa"/>
            <w:tcBorders>
              <w:top w:val="nil"/>
              <w:left w:val="nil"/>
              <w:bottom w:val="nil"/>
              <w:right w:val="nil"/>
            </w:tcBorders>
            <w:shd w:val="clear" w:color="auto" w:fill="auto"/>
            <w:noWrap/>
            <w:vAlign w:val="bottom"/>
            <w:hideMark/>
          </w:tcPr>
          <w:p w14:paraId="42034FE7" w14:textId="77777777" w:rsidR="00B415D9" w:rsidRPr="00A850A0" w:rsidRDefault="00B415D9" w:rsidP="00F866EA">
            <w:pPr>
              <w:spacing w:after="0" w:line="240" w:lineRule="auto"/>
              <w:rPr>
                <w:color w:val="000000"/>
              </w:rPr>
            </w:pPr>
            <w:r w:rsidRPr="00A850A0">
              <w:rPr>
                <w:color w:val="000000"/>
              </w:rPr>
              <w:t>.42</w:t>
            </w:r>
          </w:p>
        </w:tc>
        <w:tc>
          <w:tcPr>
            <w:tcW w:w="1160" w:type="dxa"/>
            <w:tcBorders>
              <w:top w:val="nil"/>
              <w:left w:val="nil"/>
              <w:bottom w:val="nil"/>
              <w:right w:val="nil"/>
            </w:tcBorders>
            <w:shd w:val="clear" w:color="auto" w:fill="auto"/>
            <w:noWrap/>
            <w:vAlign w:val="bottom"/>
            <w:hideMark/>
          </w:tcPr>
          <w:p w14:paraId="141D2344" w14:textId="77777777" w:rsidR="00B415D9" w:rsidRPr="00A850A0" w:rsidRDefault="00B415D9" w:rsidP="00F866EA">
            <w:pPr>
              <w:spacing w:after="0" w:line="240" w:lineRule="auto"/>
              <w:rPr>
                <w:color w:val="000000"/>
              </w:rPr>
            </w:pPr>
            <w:r w:rsidRPr="00A850A0">
              <w:rPr>
                <w:color w:val="000000"/>
              </w:rPr>
              <w:t>.06</w:t>
            </w:r>
          </w:p>
        </w:tc>
        <w:tc>
          <w:tcPr>
            <w:tcW w:w="1163" w:type="dxa"/>
            <w:tcBorders>
              <w:top w:val="nil"/>
              <w:left w:val="nil"/>
              <w:bottom w:val="nil"/>
              <w:right w:val="nil"/>
            </w:tcBorders>
            <w:shd w:val="clear" w:color="auto" w:fill="auto"/>
            <w:noWrap/>
            <w:vAlign w:val="bottom"/>
            <w:hideMark/>
          </w:tcPr>
          <w:p w14:paraId="3CDEB315" w14:textId="77777777" w:rsidR="00B415D9" w:rsidRPr="00A850A0" w:rsidRDefault="00B415D9" w:rsidP="00F866EA">
            <w:pPr>
              <w:spacing w:after="0" w:line="240" w:lineRule="auto"/>
              <w:rPr>
                <w:color w:val="000000"/>
              </w:rPr>
            </w:pPr>
            <w:r w:rsidRPr="00A850A0">
              <w:rPr>
                <w:color w:val="000000"/>
              </w:rPr>
              <w:t>.63</w:t>
            </w:r>
          </w:p>
        </w:tc>
      </w:tr>
      <w:tr w:rsidR="00B415D9" w:rsidRPr="00A850A0" w14:paraId="07A17486" w14:textId="77777777" w:rsidTr="00F866EA">
        <w:trPr>
          <w:trHeight w:val="299"/>
        </w:trPr>
        <w:tc>
          <w:tcPr>
            <w:tcW w:w="1959" w:type="dxa"/>
            <w:tcBorders>
              <w:top w:val="nil"/>
              <w:left w:val="nil"/>
              <w:bottom w:val="nil"/>
              <w:right w:val="nil"/>
            </w:tcBorders>
            <w:shd w:val="clear" w:color="auto" w:fill="auto"/>
            <w:noWrap/>
            <w:vAlign w:val="bottom"/>
            <w:hideMark/>
          </w:tcPr>
          <w:p w14:paraId="103D4D1E" w14:textId="77777777" w:rsidR="00B415D9" w:rsidRPr="00A850A0" w:rsidRDefault="00B415D9" w:rsidP="00F866EA">
            <w:pPr>
              <w:spacing w:after="0" w:line="240" w:lineRule="auto"/>
              <w:jc w:val="left"/>
              <w:rPr>
                <w:color w:val="000000"/>
              </w:rPr>
            </w:pPr>
            <w:r w:rsidRPr="00A850A0">
              <w:rPr>
                <w:color w:val="000000"/>
              </w:rPr>
              <w:t>Serbia</w:t>
            </w:r>
          </w:p>
        </w:tc>
        <w:tc>
          <w:tcPr>
            <w:tcW w:w="1160" w:type="dxa"/>
            <w:tcBorders>
              <w:top w:val="nil"/>
              <w:left w:val="nil"/>
              <w:bottom w:val="nil"/>
              <w:right w:val="nil"/>
            </w:tcBorders>
            <w:shd w:val="clear" w:color="auto" w:fill="auto"/>
            <w:noWrap/>
            <w:vAlign w:val="bottom"/>
            <w:hideMark/>
          </w:tcPr>
          <w:p w14:paraId="1AC4242F" w14:textId="77777777" w:rsidR="00B415D9" w:rsidRPr="00A850A0" w:rsidRDefault="00B415D9" w:rsidP="00F866EA">
            <w:pPr>
              <w:spacing w:after="0" w:line="240" w:lineRule="auto"/>
              <w:rPr>
                <w:color w:val="000000"/>
              </w:rPr>
            </w:pPr>
            <w:r w:rsidRPr="00A850A0">
              <w:rPr>
                <w:color w:val="000000"/>
              </w:rPr>
              <w:t>.79</w:t>
            </w:r>
          </w:p>
        </w:tc>
        <w:tc>
          <w:tcPr>
            <w:tcW w:w="1160" w:type="dxa"/>
            <w:tcBorders>
              <w:top w:val="nil"/>
              <w:left w:val="nil"/>
              <w:bottom w:val="nil"/>
              <w:right w:val="nil"/>
            </w:tcBorders>
            <w:shd w:val="clear" w:color="auto" w:fill="auto"/>
            <w:noWrap/>
            <w:vAlign w:val="bottom"/>
            <w:hideMark/>
          </w:tcPr>
          <w:p w14:paraId="71ACDFF6" w14:textId="77777777" w:rsidR="00B415D9" w:rsidRPr="00A850A0" w:rsidRDefault="00B415D9" w:rsidP="00F866EA">
            <w:pPr>
              <w:spacing w:after="0" w:line="240" w:lineRule="auto"/>
              <w:rPr>
                <w:color w:val="000000"/>
              </w:rPr>
            </w:pPr>
            <w:r w:rsidRPr="00A850A0">
              <w:rPr>
                <w:color w:val="000000"/>
              </w:rPr>
              <w:t>.31</w:t>
            </w:r>
          </w:p>
        </w:tc>
        <w:tc>
          <w:tcPr>
            <w:tcW w:w="1160" w:type="dxa"/>
            <w:tcBorders>
              <w:top w:val="nil"/>
              <w:left w:val="nil"/>
              <w:bottom w:val="nil"/>
              <w:right w:val="nil"/>
            </w:tcBorders>
            <w:shd w:val="clear" w:color="auto" w:fill="auto"/>
            <w:noWrap/>
            <w:vAlign w:val="bottom"/>
            <w:hideMark/>
          </w:tcPr>
          <w:p w14:paraId="1018C5C0"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21670116" w14:textId="77777777" w:rsidR="00B415D9" w:rsidRPr="00A850A0" w:rsidRDefault="00B415D9" w:rsidP="00F866EA">
            <w:pPr>
              <w:spacing w:after="0" w:line="240" w:lineRule="auto"/>
              <w:rPr>
                <w:color w:val="000000"/>
              </w:rPr>
            </w:pPr>
            <w:r w:rsidRPr="00A850A0">
              <w:rPr>
                <w:color w:val="000000"/>
              </w:rPr>
              <w:t>.62</w:t>
            </w:r>
          </w:p>
        </w:tc>
      </w:tr>
      <w:tr w:rsidR="00B415D9" w:rsidRPr="00A850A0" w14:paraId="0513818D" w14:textId="77777777" w:rsidTr="00F866EA">
        <w:trPr>
          <w:trHeight w:val="299"/>
        </w:trPr>
        <w:tc>
          <w:tcPr>
            <w:tcW w:w="1959" w:type="dxa"/>
            <w:tcBorders>
              <w:top w:val="nil"/>
              <w:left w:val="nil"/>
              <w:bottom w:val="nil"/>
              <w:right w:val="nil"/>
            </w:tcBorders>
            <w:shd w:val="clear" w:color="auto" w:fill="auto"/>
            <w:noWrap/>
            <w:vAlign w:val="bottom"/>
            <w:hideMark/>
          </w:tcPr>
          <w:p w14:paraId="57FFEFC0" w14:textId="77777777" w:rsidR="00B415D9" w:rsidRPr="00A850A0" w:rsidRDefault="00B415D9" w:rsidP="00F866EA">
            <w:pPr>
              <w:spacing w:after="0" w:line="240" w:lineRule="auto"/>
              <w:jc w:val="left"/>
              <w:rPr>
                <w:color w:val="000000"/>
              </w:rPr>
            </w:pPr>
            <w:r w:rsidRPr="00A850A0">
              <w:rPr>
                <w:color w:val="000000"/>
              </w:rPr>
              <w:t>Argentina</w:t>
            </w:r>
          </w:p>
        </w:tc>
        <w:tc>
          <w:tcPr>
            <w:tcW w:w="1160" w:type="dxa"/>
            <w:tcBorders>
              <w:top w:val="nil"/>
              <w:left w:val="nil"/>
              <w:bottom w:val="nil"/>
              <w:right w:val="nil"/>
            </w:tcBorders>
            <w:shd w:val="clear" w:color="auto" w:fill="auto"/>
            <w:noWrap/>
            <w:vAlign w:val="bottom"/>
            <w:hideMark/>
          </w:tcPr>
          <w:p w14:paraId="109D8600" w14:textId="77777777" w:rsidR="00B415D9" w:rsidRPr="00A850A0" w:rsidRDefault="00B415D9" w:rsidP="00F866EA">
            <w:pPr>
              <w:spacing w:after="0" w:line="240" w:lineRule="auto"/>
              <w:rPr>
                <w:color w:val="000000"/>
              </w:rPr>
            </w:pPr>
            <w:r w:rsidRPr="00A850A0">
              <w:rPr>
                <w:color w:val="000000"/>
              </w:rPr>
              <w:t>.78</w:t>
            </w:r>
          </w:p>
        </w:tc>
        <w:tc>
          <w:tcPr>
            <w:tcW w:w="1160" w:type="dxa"/>
            <w:tcBorders>
              <w:top w:val="nil"/>
              <w:left w:val="nil"/>
              <w:bottom w:val="nil"/>
              <w:right w:val="nil"/>
            </w:tcBorders>
            <w:shd w:val="clear" w:color="auto" w:fill="auto"/>
            <w:noWrap/>
            <w:vAlign w:val="bottom"/>
            <w:hideMark/>
          </w:tcPr>
          <w:p w14:paraId="062A5B09" w14:textId="77777777" w:rsidR="00B415D9" w:rsidRPr="00A850A0" w:rsidRDefault="00B415D9" w:rsidP="00F866EA">
            <w:pPr>
              <w:spacing w:after="0" w:line="240" w:lineRule="auto"/>
              <w:rPr>
                <w:color w:val="000000"/>
              </w:rPr>
            </w:pPr>
            <w:r w:rsidRPr="00A850A0">
              <w:rPr>
                <w:color w:val="000000"/>
              </w:rPr>
              <w:t>.37</w:t>
            </w:r>
          </w:p>
        </w:tc>
        <w:tc>
          <w:tcPr>
            <w:tcW w:w="1160" w:type="dxa"/>
            <w:tcBorders>
              <w:top w:val="nil"/>
              <w:left w:val="nil"/>
              <w:bottom w:val="nil"/>
              <w:right w:val="nil"/>
            </w:tcBorders>
            <w:shd w:val="clear" w:color="auto" w:fill="auto"/>
            <w:noWrap/>
            <w:vAlign w:val="bottom"/>
            <w:hideMark/>
          </w:tcPr>
          <w:p w14:paraId="21F3221E" w14:textId="77777777" w:rsidR="00B415D9" w:rsidRPr="00A850A0" w:rsidRDefault="00B415D9" w:rsidP="00F866EA">
            <w:pPr>
              <w:spacing w:after="0" w:line="240" w:lineRule="auto"/>
              <w:rPr>
                <w:color w:val="000000"/>
              </w:rPr>
            </w:pPr>
            <w:r w:rsidRPr="00A850A0">
              <w:rPr>
                <w:color w:val="000000"/>
              </w:rPr>
              <w:t>.06</w:t>
            </w:r>
          </w:p>
        </w:tc>
        <w:tc>
          <w:tcPr>
            <w:tcW w:w="1163" w:type="dxa"/>
            <w:tcBorders>
              <w:top w:val="nil"/>
              <w:left w:val="nil"/>
              <w:bottom w:val="nil"/>
              <w:right w:val="nil"/>
            </w:tcBorders>
            <w:shd w:val="clear" w:color="auto" w:fill="auto"/>
            <w:noWrap/>
            <w:vAlign w:val="bottom"/>
            <w:hideMark/>
          </w:tcPr>
          <w:p w14:paraId="07709512" w14:textId="77777777" w:rsidR="00B415D9" w:rsidRPr="00A850A0" w:rsidRDefault="00B415D9" w:rsidP="00F866EA">
            <w:pPr>
              <w:spacing w:after="0" w:line="240" w:lineRule="auto"/>
              <w:rPr>
                <w:color w:val="000000"/>
              </w:rPr>
            </w:pPr>
            <w:r w:rsidRPr="00A850A0">
              <w:rPr>
                <w:color w:val="000000"/>
              </w:rPr>
              <w:t>.61</w:t>
            </w:r>
          </w:p>
        </w:tc>
      </w:tr>
      <w:tr w:rsidR="00B415D9" w:rsidRPr="00A850A0" w14:paraId="4497AC70" w14:textId="77777777" w:rsidTr="00F866EA">
        <w:trPr>
          <w:trHeight w:val="299"/>
        </w:trPr>
        <w:tc>
          <w:tcPr>
            <w:tcW w:w="1959" w:type="dxa"/>
            <w:tcBorders>
              <w:top w:val="nil"/>
              <w:left w:val="nil"/>
              <w:bottom w:val="nil"/>
              <w:right w:val="nil"/>
            </w:tcBorders>
            <w:shd w:val="clear" w:color="auto" w:fill="auto"/>
            <w:noWrap/>
            <w:vAlign w:val="bottom"/>
            <w:hideMark/>
          </w:tcPr>
          <w:p w14:paraId="585D9F91" w14:textId="77777777" w:rsidR="00B415D9" w:rsidRPr="00A850A0" w:rsidRDefault="00B415D9" w:rsidP="00F866EA">
            <w:pPr>
              <w:spacing w:after="0" w:line="240" w:lineRule="auto"/>
              <w:jc w:val="left"/>
              <w:rPr>
                <w:color w:val="000000"/>
              </w:rPr>
            </w:pPr>
            <w:r w:rsidRPr="00A850A0">
              <w:rPr>
                <w:color w:val="000000"/>
              </w:rPr>
              <w:t>Canada</w:t>
            </w:r>
          </w:p>
        </w:tc>
        <w:tc>
          <w:tcPr>
            <w:tcW w:w="1160" w:type="dxa"/>
            <w:tcBorders>
              <w:top w:val="nil"/>
              <w:left w:val="nil"/>
              <w:bottom w:val="nil"/>
              <w:right w:val="nil"/>
            </w:tcBorders>
            <w:shd w:val="clear" w:color="auto" w:fill="auto"/>
            <w:noWrap/>
            <w:vAlign w:val="bottom"/>
            <w:hideMark/>
          </w:tcPr>
          <w:p w14:paraId="1ABF5100" w14:textId="77777777" w:rsidR="00B415D9" w:rsidRPr="00A850A0" w:rsidRDefault="00B415D9" w:rsidP="00F866EA">
            <w:pPr>
              <w:spacing w:after="0" w:line="240" w:lineRule="auto"/>
              <w:rPr>
                <w:color w:val="000000"/>
              </w:rPr>
            </w:pPr>
            <w:r w:rsidRPr="00A850A0">
              <w:rPr>
                <w:color w:val="000000"/>
              </w:rPr>
              <w:t>.78</w:t>
            </w:r>
          </w:p>
        </w:tc>
        <w:tc>
          <w:tcPr>
            <w:tcW w:w="1160" w:type="dxa"/>
            <w:tcBorders>
              <w:top w:val="nil"/>
              <w:left w:val="nil"/>
              <w:bottom w:val="nil"/>
              <w:right w:val="nil"/>
            </w:tcBorders>
            <w:shd w:val="clear" w:color="auto" w:fill="auto"/>
            <w:noWrap/>
            <w:vAlign w:val="bottom"/>
            <w:hideMark/>
          </w:tcPr>
          <w:p w14:paraId="38931FE1" w14:textId="77777777" w:rsidR="00B415D9" w:rsidRPr="00A850A0" w:rsidRDefault="00B415D9" w:rsidP="00F866EA">
            <w:pPr>
              <w:spacing w:after="0" w:line="240" w:lineRule="auto"/>
              <w:rPr>
                <w:color w:val="000000"/>
              </w:rPr>
            </w:pPr>
            <w:r w:rsidRPr="00A850A0">
              <w:rPr>
                <w:color w:val="000000"/>
              </w:rPr>
              <w:t>.27</w:t>
            </w:r>
          </w:p>
        </w:tc>
        <w:tc>
          <w:tcPr>
            <w:tcW w:w="1160" w:type="dxa"/>
            <w:tcBorders>
              <w:top w:val="nil"/>
              <w:left w:val="nil"/>
              <w:bottom w:val="nil"/>
              <w:right w:val="nil"/>
            </w:tcBorders>
            <w:shd w:val="clear" w:color="auto" w:fill="auto"/>
            <w:noWrap/>
            <w:vAlign w:val="bottom"/>
            <w:hideMark/>
          </w:tcPr>
          <w:p w14:paraId="7F3ABB06"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0B25CF8B" w14:textId="77777777" w:rsidR="00B415D9" w:rsidRPr="00A850A0" w:rsidRDefault="00B415D9" w:rsidP="00F866EA">
            <w:pPr>
              <w:spacing w:after="0" w:line="240" w:lineRule="auto"/>
              <w:rPr>
                <w:color w:val="000000"/>
              </w:rPr>
            </w:pPr>
            <w:r w:rsidRPr="00A850A0">
              <w:rPr>
                <w:color w:val="000000"/>
              </w:rPr>
              <w:t>.60</w:t>
            </w:r>
          </w:p>
        </w:tc>
      </w:tr>
      <w:tr w:rsidR="00B415D9" w:rsidRPr="00A850A0" w14:paraId="71EF888D" w14:textId="77777777" w:rsidTr="00F866EA">
        <w:trPr>
          <w:trHeight w:val="299"/>
        </w:trPr>
        <w:tc>
          <w:tcPr>
            <w:tcW w:w="1959" w:type="dxa"/>
            <w:tcBorders>
              <w:top w:val="nil"/>
              <w:left w:val="nil"/>
              <w:bottom w:val="nil"/>
              <w:right w:val="nil"/>
            </w:tcBorders>
            <w:shd w:val="clear" w:color="auto" w:fill="auto"/>
            <w:noWrap/>
            <w:vAlign w:val="bottom"/>
            <w:hideMark/>
          </w:tcPr>
          <w:p w14:paraId="09BF0D39" w14:textId="77777777" w:rsidR="00B415D9" w:rsidRPr="00A850A0" w:rsidRDefault="00B415D9" w:rsidP="00F866EA">
            <w:pPr>
              <w:spacing w:after="0" w:line="240" w:lineRule="auto"/>
              <w:jc w:val="left"/>
              <w:rPr>
                <w:color w:val="000000"/>
              </w:rPr>
            </w:pPr>
            <w:r w:rsidRPr="00A850A0">
              <w:rPr>
                <w:color w:val="000000"/>
              </w:rPr>
              <w:t>Slovenia</w:t>
            </w:r>
          </w:p>
        </w:tc>
        <w:tc>
          <w:tcPr>
            <w:tcW w:w="1160" w:type="dxa"/>
            <w:tcBorders>
              <w:top w:val="nil"/>
              <w:left w:val="nil"/>
              <w:bottom w:val="nil"/>
              <w:right w:val="nil"/>
            </w:tcBorders>
            <w:shd w:val="clear" w:color="auto" w:fill="auto"/>
            <w:noWrap/>
            <w:vAlign w:val="bottom"/>
            <w:hideMark/>
          </w:tcPr>
          <w:p w14:paraId="016AF098" w14:textId="77777777" w:rsidR="00B415D9" w:rsidRPr="00A850A0" w:rsidRDefault="00B415D9" w:rsidP="00F866EA">
            <w:pPr>
              <w:spacing w:after="0" w:line="240" w:lineRule="auto"/>
              <w:rPr>
                <w:color w:val="000000"/>
              </w:rPr>
            </w:pPr>
            <w:r w:rsidRPr="00A850A0">
              <w:rPr>
                <w:color w:val="000000"/>
              </w:rPr>
              <w:t>.77</w:t>
            </w:r>
          </w:p>
        </w:tc>
        <w:tc>
          <w:tcPr>
            <w:tcW w:w="1160" w:type="dxa"/>
            <w:tcBorders>
              <w:top w:val="nil"/>
              <w:left w:val="nil"/>
              <w:bottom w:val="nil"/>
              <w:right w:val="nil"/>
            </w:tcBorders>
            <w:shd w:val="clear" w:color="auto" w:fill="auto"/>
            <w:noWrap/>
            <w:vAlign w:val="bottom"/>
            <w:hideMark/>
          </w:tcPr>
          <w:p w14:paraId="7E9CA320" w14:textId="77777777" w:rsidR="00B415D9" w:rsidRPr="00A850A0" w:rsidRDefault="00B415D9" w:rsidP="00F866EA">
            <w:pPr>
              <w:spacing w:after="0" w:line="240" w:lineRule="auto"/>
              <w:rPr>
                <w:color w:val="000000"/>
              </w:rPr>
            </w:pPr>
            <w:r w:rsidRPr="00A850A0">
              <w:rPr>
                <w:color w:val="000000"/>
              </w:rPr>
              <w:t>.27</w:t>
            </w:r>
          </w:p>
        </w:tc>
        <w:tc>
          <w:tcPr>
            <w:tcW w:w="1160" w:type="dxa"/>
            <w:tcBorders>
              <w:top w:val="nil"/>
              <w:left w:val="nil"/>
              <w:bottom w:val="nil"/>
              <w:right w:val="nil"/>
            </w:tcBorders>
            <w:shd w:val="clear" w:color="auto" w:fill="auto"/>
            <w:noWrap/>
            <w:vAlign w:val="bottom"/>
            <w:hideMark/>
          </w:tcPr>
          <w:p w14:paraId="5A2AED66"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3BE2414A" w14:textId="77777777" w:rsidR="00B415D9" w:rsidRPr="00A850A0" w:rsidRDefault="00B415D9" w:rsidP="00F866EA">
            <w:pPr>
              <w:spacing w:after="0" w:line="240" w:lineRule="auto"/>
              <w:rPr>
                <w:color w:val="000000"/>
              </w:rPr>
            </w:pPr>
            <w:r w:rsidRPr="00A850A0">
              <w:rPr>
                <w:color w:val="000000"/>
              </w:rPr>
              <w:t>.60</w:t>
            </w:r>
          </w:p>
        </w:tc>
      </w:tr>
      <w:tr w:rsidR="00B415D9" w:rsidRPr="00A850A0" w14:paraId="56843C06" w14:textId="77777777" w:rsidTr="00F866EA">
        <w:trPr>
          <w:trHeight w:val="299"/>
        </w:trPr>
        <w:tc>
          <w:tcPr>
            <w:tcW w:w="1959" w:type="dxa"/>
            <w:tcBorders>
              <w:top w:val="nil"/>
              <w:left w:val="nil"/>
              <w:bottom w:val="nil"/>
              <w:right w:val="nil"/>
            </w:tcBorders>
            <w:shd w:val="clear" w:color="auto" w:fill="auto"/>
            <w:noWrap/>
            <w:vAlign w:val="bottom"/>
            <w:hideMark/>
          </w:tcPr>
          <w:p w14:paraId="0D566CCE" w14:textId="77777777" w:rsidR="00B415D9" w:rsidRPr="00A850A0" w:rsidRDefault="00B415D9" w:rsidP="00F866EA">
            <w:pPr>
              <w:spacing w:after="0" w:line="240" w:lineRule="auto"/>
              <w:jc w:val="left"/>
              <w:rPr>
                <w:color w:val="000000"/>
              </w:rPr>
            </w:pPr>
            <w:r w:rsidRPr="00A850A0">
              <w:rPr>
                <w:color w:val="000000"/>
              </w:rPr>
              <w:t>Palestine</w:t>
            </w:r>
          </w:p>
        </w:tc>
        <w:tc>
          <w:tcPr>
            <w:tcW w:w="1160" w:type="dxa"/>
            <w:tcBorders>
              <w:top w:val="nil"/>
              <w:left w:val="nil"/>
              <w:bottom w:val="nil"/>
              <w:right w:val="nil"/>
            </w:tcBorders>
            <w:shd w:val="clear" w:color="auto" w:fill="auto"/>
            <w:noWrap/>
            <w:vAlign w:val="bottom"/>
            <w:hideMark/>
          </w:tcPr>
          <w:p w14:paraId="4798DDBF" w14:textId="77777777" w:rsidR="00B415D9" w:rsidRPr="00A850A0" w:rsidRDefault="00B415D9" w:rsidP="00F866EA">
            <w:pPr>
              <w:spacing w:after="0" w:line="240" w:lineRule="auto"/>
              <w:rPr>
                <w:color w:val="000000"/>
              </w:rPr>
            </w:pPr>
            <w:r w:rsidRPr="00A850A0">
              <w:rPr>
                <w:color w:val="000000"/>
              </w:rPr>
              <w:t>.77</w:t>
            </w:r>
          </w:p>
        </w:tc>
        <w:tc>
          <w:tcPr>
            <w:tcW w:w="1160" w:type="dxa"/>
            <w:tcBorders>
              <w:top w:val="nil"/>
              <w:left w:val="nil"/>
              <w:bottom w:val="nil"/>
              <w:right w:val="nil"/>
            </w:tcBorders>
            <w:shd w:val="clear" w:color="auto" w:fill="auto"/>
            <w:noWrap/>
            <w:vAlign w:val="bottom"/>
            <w:hideMark/>
          </w:tcPr>
          <w:p w14:paraId="4E7FCA18" w14:textId="77777777" w:rsidR="00B415D9" w:rsidRPr="00A850A0" w:rsidRDefault="00B415D9" w:rsidP="00F866EA">
            <w:pPr>
              <w:spacing w:after="0" w:line="240" w:lineRule="auto"/>
              <w:rPr>
                <w:color w:val="000000"/>
              </w:rPr>
            </w:pPr>
            <w:r w:rsidRPr="00A850A0">
              <w:rPr>
                <w:color w:val="000000"/>
              </w:rPr>
              <w:t>.28</w:t>
            </w:r>
          </w:p>
        </w:tc>
        <w:tc>
          <w:tcPr>
            <w:tcW w:w="1160" w:type="dxa"/>
            <w:tcBorders>
              <w:top w:val="nil"/>
              <w:left w:val="nil"/>
              <w:bottom w:val="nil"/>
              <w:right w:val="nil"/>
            </w:tcBorders>
            <w:shd w:val="clear" w:color="auto" w:fill="auto"/>
            <w:noWrap/>
            <w:vAlign w:val="bottom"/>
            <w:hideMark/>
          </w:tcPr>
          <w:p w14:paraId="1778CF2A"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10B04CF0" w14:textId="77777777" w:rsidR="00B415D9" w:rsidRPr="00A850A0" w:rsidRDefault="00B415D9" w:rsidP="00F866EA">
            <w:pPr>
              <w:spacing w:after="0" w:line="240" w:lineRule="auto"/>
              <w:rPr>
                <w:color w:val="000000"/>
              </w:rPr>
            </w:pPr>
            <w:r w:rsidRPr="00A850A0">
              <w:rPr>
                <w:color w:val="000000"/>
              </w:rPr>
              <w:t>.59</w:t>
            </w:r>
          </w:p>
        </w:tc>
      </w:tr>
      <w:tr w:rsidR="00B415D9" w:rsidRPr="00A850A0" w14:paraId="00F778EB" w14:textId="77777777" w:rsidTr="00F866EA">
        <w:trPr>
          <w:trHeight w:val="299"/>
        </w:trPr>
        <w:tc>
          <w:tcPr>
            <w:tcW w:w="1959" w:type="dxa"/>
            <w:tcBorders>
              <w:top w:val="nil"/>
              <w:left w:val="nil"/>
              <w:bottom w:val="nil"/>
              <w:right w:val="nil"/>
            </w:tcBorders>
            <w:shd w:val="clear" w:color="auto" w:fill="auto"/>
            <w:noWrap/>
            <w:vAlign w:val="bottom"/>
            <w:hideMark/>
          </w:tcPr>
          <w:p w14:paraId="29FF8BCC" w14:textId="77777777" w:rsidR="00B415D9" w:rsidRPr="00A850A0" w:rsidRDefault="00B415D9" w:rsidP="00F866EA">
            <w:pPr>
              <w:spacing w:after="0" w:line="240" w:lineRule="auto"/>
              <w:jc w:val="left"/>
              <w:rPr>
                <w:color w:val="000000"/>
              </w:rPr>
            </w:pPr>
            <w:r w:rsidRPr="00A850A0">
              <w:rPr>
                <w:color w:val="000000"/>
              </w:rPr>
              <w:t>Lithuania</w:t>
            </w:r>
          </w:p>
        </w:tc>
        <w:tc>
          <w:tcPr>
            <w:tcW w:w="1160" w:type="dxa"/>
            <w:tcBorders>
              <w:top w:val="nil"/>
              <w:left w:val="nil"/>
              <w:bottom w:val="nil"/>
              <w:right w:val="nil"/>
            </w:tcBorders>
            <w:shd w:val="clear" w:color="auto" w:fill="auto"/>
            <w:noWrap/>
            <w:vAlign w:val="bottom"/>
            <w:hideMark/>
          </w:tcPr>
          <w:p w14:paraId="4BA2CDE0" w14:textId="77777777" w:rsidR="00B415D9" w:rsidRPr="00A850A0" w:rsidRDefault="00B415D9" w:rsidP="00F866EA">
            <w:pPr>
              <w:spacing w:after="0" w:line="240" w:lineRule="auto"/>
              <w:rPr>
                <w:color w:val="000000"/>
              </w:rPr>
            </w:pPr>
            <w:r w:rsidRPr="00A850A0">
              <w:rPr>
                <w:color w:val="000000"/>
              </w:rPr>
              <w:t>.77</w:t>
            </w:r>
          </w:p>
        </w:tc>
        <w:tc>
          <w:tcPr>
            <w:tcW w:w="1160" w:type="dxa"/>
            <w:tcBorders>
              <w:top w:val="nil"/>
              <w:left w:val="nil"/>
              <w:bottom w:val="nil"/>
              <w:right w:val="nil"/>
            </w:tcBorders>
            <w:shd w:val="clear" w:color="auto" w:fill="auto"/>
            <w:noWrap/>
            <w:vAlign w:val="bottom"/>
            <w:hideMark/>
          </w:tcPr>
          <w:p w14:paraId="3FC0F021" w14:textId="77777777" w:rsidR="00B415D9" w:rsidRPr="00A850A0" w:rsidRDefault="00B415D9" w:rsidP="00F866EA">
            <w:pPr>
              <w:spacing w:after="0" w:line="240" w:lineRule="auto"/>
              <w:rPr>
                <w:color w:val="000000"/>
              </w:rPr>
            </w:pPr>
            <w:r w:rsidRPr="00A850A0">
              <w:rPr>
                <w:color w:val="000000"/>
              </w:rPr>
              <w:t>.30</w:t>
            </w:r>
          </w:p>
        </w:tc>
        <w:tc>
          <w:tcPr>
            <w:tcW w:w="1160" w:type="dxa"/>
            <w:tcBorders>
              <w:top w:val="nil"/>
              <w:left w:val="nil"/>
              <w:bottom w:val="nil"/>
              <w:right w:val="nil"/>
            </w:tcBorders>
            <w:shd w:val="clear" w:color="auto" w:fill="auto"/>
            <w:noWrap/>
            <w:vAlign w:val="bottom"/>
            <w:hideMark/>
          </w:tcPr>
          <w:p w14:paraId="67C8EF16"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22891BAD" w14:textId="77777777" w:rsidR="00B415D9" w:rsidRPr="00A850A0" w:rsidRDefault="00B415D9" w:rsidP="00F866EA">
            <w:pPr>
              <w:spacing w:after="0" w:line="240" w:lineRule="auto"/>
              <w:rPr>
                <w:color w:val="000000"/>
              </w:rPr>
            </w:pPr>
            <w:r w:rsidRPr="00A850A0">
              <w:rPr>
                <w:color w:val="000000"/>
              </w:rPr>
              <w:t>.59</w:t>
            </w:r>
          </w:p>
        </w:tc>
      </w:tr>
      <w:tr w:rsidR="00B415D9" w:rsidRPr="00A850A0" w14:paraId="0D35D20E" w14:textId="77777777" w:rsidTr="00F866EA">
        <w:trPr>
          <w:trHeight w:val="299"/>
        </w:trPr>
        <w:tc>
          <w:tcPr>
            <w:tcW w:w="1959" w:type="dxa"/>
            <w:tcBorders>
              <w:top w:val="nil"/>
              <w:left w:val="nil"/>
              <w:bottom w:val="nil"/>
              <w:right w:val="nil"/>
            </w:tcBorders>
            <w:shd w:val="clear" w:color="auto" w:fill="auto"/>
            <w:noWrap/>
            <w:vAlign w:val="bottom"/>
            <w:hideMark/>
          </w:tcPr>
          <w:p w14:paraId="30E68446" w14:textId="77777777" w:rsidR="00B415D9" w:rsidRPr="00A850A0" w:rsidRDefault="00B415D9" w:rsidP="00F866EA">
            <w:pPr>
              <w:spacing w:after="0" w:line="240" w:lineRule="auto"/>
              <w:jc w:val="left"/>
              <w:rPr>
                <w:color w:val="000000"/>
              </w:rPr>
            </w:pPr>
            <w:r w:rsidRPr="00A850A0">
              <w:rPr>
                <w:color w:val="000000"/>
              </w:rPr>
              <w:t>India</w:t>
            </w:r>
          </w:p>
        </w:tc>
        <w:tc>
          <w:tcPr>
            <w:tcW w:w="1160" w:type="dxa"/>
            <w:tcBorders>
              <w:top w:val="nil"/>
              <w:left w:val="nil"/>
              <w:bottom w:val="nil"/>
              <w:right w:val="nil"/>
            </w:tcBorders>
            <w:shd w:val="clear" w:color="auto" w:fill="auto"/>
            <w:noWrap/>
            <w:vAlign w:val="bottom"/>
            <w:hideMark/>
          </w:tcPr>
          <w:p w14:paraId="166D2E0D" w14:textId="77777777" w:rsidR="00B415D9" w:rsidRPr="00A850A0" w:rsidRDefault="00B415D9" w:rsidP="00F866EA">
            <w:pPr>
              <w:spacing w:after="0" w:line="240" w:lineRule="auto"/>
              <w:rPr>
                <w:color w:val="000000"/>
              </w:rPr>
            </w:pPr>
            <w:r w:rsidRPr="00A850A0">
              <w:rPr>
                <w:color w:val="000000"/>
              </w:rPr>
              <w:t>.76</w:t>
            </w:r>
          </w:p>
        </w:tc>
        <w:tc>
          <w:tcPr>
            <w:tcW w:w="1160" w:type="dxa"/>
            <w:tcBorders>
              <w:top w:val="nil"/>
              <w:left w:val="nil"/>
              <w:bottom w:val="nil"/>
              <w:right w:val="nil"/>
            </w:tcBorders>
            <w:shd w:val="clear" w:color="auto" w:fill="auto"/>
            <w:noWrap/>
            <w:vAlign w:val="bottom"/>
            <w:hideMark/>
          </w:tcPr>
          <w:p w14:paraId="758C65AD" w14:textId="77777777" w:rsidR="00B415D9" w:rsidRPr="00A850A0" w:rsidRDefault="00B415D9" w:rsidP="00F866EA">
            <w:pPr>
              <w:spacing w:after="0" w:line="240" w:lineRule="auto"/>
              <w:rPr>
                <w:color w:val="000000"/>
              </w:rPr>
            </w:pPr>
            <w:r w:rsidRPr="00A850A0">
              <w:rPr>
                <w:color w:val="000000"/>
              </w:rPr>
              <w:t>.39</w:t>
            </w:r>
          </w:p>
        </w:tc>
        <w:tc>
          <w:tcPr>
            <w:tcW w:w="1160" w:type="dxa"/>
            <w:tcBorders>
              <w:top w:val="nil"/>
              <w:left w:val="nil"/>
              <w:bottom w:val="nil"/>
              <w:right w:val="nil"/>
            </w:tcBorders>
            <w:shd w:val="clear" w:color="auto" w:fill="auto"/>
            <w:noWrap/>
            <w:vAlign w:val="bottom"/>
            <w:hideMark/>
          </w:tcPr>
          <w:p w14:paraId="262581D7" w14:textId="77777777" w:rsidR="00B415D9" w:rsidRPr="00A850A0" w:rsidRDefault="00B415D9" w:rsidP="00F866EA">
            <w:pPr>
              <w:spacing w:after="0" w:line="240" w:lineRule="auto"/>
              <w:rPr>
                <w:color w:val="000000"/>
              </w:rPr>
            </w:pPr>
            <w:r w:rsidRPr="00A850A0">
              <w:rPr>
                <w:color w:val="000000"/>
              </w:rPr>
              <w:t>.07</w:t>
            </w:r>
          </w:p>
        </w:tc>
        <w:tc>
          <w:tcPr>
            <w:tcW w:w="1163" w:type="dxa"/>
            <w:tcBorders>
              <w:top w:val="nil"/>
              <w:left w:val="nil"/>
              <w:bottom w:val="nil"/>
              <w:right w:val="nil"/>
            </w:tcBorders>
            <w:shd w:val="clear" w:color="auto" w:fill="auto"/>
            <w:noWrap/>
            <w:vAlign w:val="bottom"/>
            <w:hideMark/>
          </w:tcPr>
          <w:p w14:paraId="07F2EB34" w14:textId="77777777" w:rsidR="00B415D9" w:rsidRPr="00A850A0" w:rsidRDefault="00B415D9" w:rsidP="00F866EA">
            <w:pPr>
              <w:spacing w:after="0" w:line="240" w:lineRule="auto"/>
              <w:rPr>
                <w:color w:val="000000"/>
              </w:rPr>
            </w:pPr>
            <w:r w:rsidRPr="00A850A0">
              <w:rPr>
                <w:color w:val="000000"/>
              </w:rPr>
              <w:t>.58</w:t>
            </w:r>
          </w:p>
        </w:tc>
      </w:tr>
      <w:tr w:rsidR="00B415D9" w:rsidRPr="00A850A0" w14:paraId="78D118FD" w14:textId="77777777" w:rsidTr="00F866EA">
        <w:trPr>
          <w:trHeight w:val="299"/>
        </w:trPr>
        <w:tc>
          <w:tcPr>
            <w:tcW w:w="1959" w:type="dxa"/>
            <w:tcBorders>
              <w:top w:val="nil"/>
              <w:left w:val="nil"/>
              <w:bottom w:val="nil"/>
              <w:right w:val="nil"/>
            </w:tcBorders>
            <w:shd w:val="clear" w:color="auto" w:fill="auto"/>
            <w:noWrap/>
            <w:vAlign w:val="bottom"/>
            <w:hideMark/>
          </w:tcPr>
          <w:p w14:paraId="64C82459" w14:textId="77777777" w:rsidR="00B415D9" w:rsidRPr="00A850A0" w:rsidRDefault="00B415D9" w:rsidP="00F866EA">
            <w:pPr>
              <w:spacing w:after="0" w:line="240" w:lineRule="auto"/>
              <w:jc w:val="left"/>
              <w:rPr>
                <w:color w:val="000000"/>
              </w:rPr>
            </w:pPr>
            <w:r w:rsidRPr="00A850A0">
              <w:rPr>
                <w:color w:val="000000"/>
              </w:rPr>
              <w:t>Senegal</w:t>
            </w:r>
          </w:p>
        </w:tc>
        <w:tc>
          <w:tcPr>
            <w:tcW w:w="1160" w:type="dxa"/>
            <w:tcBorders>
              <w:top w:val="nil"/>
              <w:left w:val="nil"/>
              <w:bottom w:val="nil"/>
              <w:right w:val="nil"/>
            </w:tcBorders>
            <w:shd w:val="clear" w:color="auto" w:fill="auto"/>
            <w:noWrap/>
            <w:vAlign w:val="bottom"/>
            <w:hideMark/>
          </w:tcPr>
          <w:p w14:paraId="6D274C30" w14:textId="77777777" w:rsidR="00B415D9" w:rsidRPr="00A850A0" w:rsidRDefault="00B415D9" w:rsidP="00F866EA">
            <w:pPr>
              <w:spacing w:after="0" w:line="240" w:lineRule="auto"/>
              <w:rPr>
                <w:color w:val="000000"/>
              </w:rPr>
            </w:pPr>
            <w:r w:rsidRPr="00A850A0">
              <w:rPr>
                <w:color w:val="000000"/>
              </w:rPr>
              <w:t>.76</w:t>
            </w:r>
          </w:p>
        </w:tc>
        <w:tc>
          <w:tcPr>
            <w:tcW w:w="1160" w:type="dxa"/>
            <w:tcBorders>
              <w:top w:val="nil"/>
              <w:left w:val="nil"/>
              <w:bottom w:val="nil"/>
              <w:right w:val="nil"/>
            </w:tcBorders>
            <w:shd w:val="clear" w:color="auto" w:fill="auto"/>
            <w:noWrap/>
            <w:vAlign w:val="bottom"/>
            <w:hideMark/>
          </w:tcPr>
          <w:p w14:paraId="17A2AFD2" w14:textId="77777777" w:rsidR="00B415D9" w:rsidRPr="00A850A0" w:rsidRDefault="00B415D9" w:rsidP="00F866EA">
            <w:pPr>
              <w:spacing w:after="0" w:line="240" w:lineRule="auto"/>
              <w:rPr>
                <w:color w:val="000000"/>
              </w:rPr>
            </w:pPr>
            <w:r w:rsidRPr="00A850A0">
              <w:rPr>
                <w:color w:val="000000"/>
              </w:rPr>
              <w:t>.29</w:t>
            </w:r>
          </w:p>
        </w:tc>
        <w:tc>
          <w:tcPr>
            <w:tcW w:w="1160" w:type="dxa"/>
            <w:tcBorders>
              <w:top w:val="nil"/>
              <w:left w:val="nil"/>
              <w:bottom w:val="nil"/>
              <w:right w:val="nil"/>
            </w:tcBorders>
            <w:shd w:val="clear" w:color="auto" w:fill="auto"/>
            <w:noWrap/>
            <w:vAlign w:val="bottom"/>
            <w:hideMark/>
          </w:tcPr>
          <w:p w14:paraId="573FD1CC"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46605607" w14:textId="77777777" w:rsidR="00B415D9" w:rsidRPr="00A850A0" w:rsidRDefault="00B415D9" w:rsidP="00F866EA">
            <w:pPr>
              <w:spacing w:after="0" w:line="240" w:lineRule="auto"/>
              <w:rPr>
                <w:color w:val="000000"/>
              </w:rPr>
            </w:pPr>
            <w:r w:rsidRPr="00A850A0">
              <w:rPr>
                <w:color w:val="000000"/>
              </w:rPr>
              <w:t>.57</w:t>
            </w:r>
          </w:p>
        </w:tc>
      </w:tr>
      <w:tr w:rsidR="00B415D9" w:rsidRPr="00A850A0" w14:paraId="5DA8CD13" w14:textId="77777777" w:rsidTr="00F866EA">
        <w:trPr>
          <w:trHeight w:val="299"/>
        </w:trPr>
        <w:tc>
          <w:tcPr>
            <w:tcW w:w="1959" w:type="dxa"/>
            <w:tcBorders>
              <w:top w:val="nil"/>
              <w:left w:val="nil"/>
              <w:bottom w:val="nil"/>
              <w:right w:val="nil"/>
            </w:tcBorders>
            <w:shd w:val="clear" w:color="auto" w:fill="auto"/>
            <w:noWrap/>
            <w:vAlign w:val="bottom"/>
            <w:hideMark/>
          </w:tcPr>
          <w:p w14:paraId="08B8A8EF" w14:textId="77777777" w:rsidR="00B415D9" w:rsidRPr="00A850A0" w:rsidRDefault="00B415D9" w:rsidP="00F866EA">
            <w:pPr>
              <w:spacing w:after="0" w:line="240" w:lineRule="auto"/>
              <w:jc w:val="left"/>
              <w:rPr>
                <w:color w:val="000000"/>
              </w:rPr>
            </w:pPr>
            <w:r w:rsidRPr="00A850A0">
              <w:rPr>
                <w:color w:val="000000"/>
              </w:rPr>
              <w:t>Chile</w:t>
            </w:r>
          </w:p>
        </w:tc>
        <w:tc>
          <w:tcPr>
            <w:tcW w:w="1160" w:type="dxa"/>
            <w:tcBorders>
              <w:top w:val="nil"/>
              <w:left w:val="nil"/>
              <w:bottom w:val="nil"/>
              <w:right w:val="nil"/>
            </w:tcBorders>
            <w:shd w:val="clear" w:color="auto" w:fill="auto"/>
            <w:noWrap/>
            <w:vAlign w:val="bottom"/>
            <w:hideMark/>
          </w:tcPr>
          <w:p w14:paraId="2F359897" w14:textId="77777777" w:rsidR="00B415D9" w:rsidRPr="00A850A0" w:rsidRDefault="00B415D9" w:rsidP="00F866EA">
            <w:pPr>
              <w:spacing w:after="0" w:line="240" w:lineRule="auto"/>
              <w:rPr>
                <w:color w:val="000000"/>
              </w:rPr>
            </w:pPr>
            <w:r w:rsidRPr="00A850A0">
              <w:rPr>
                <w:color w:val="000000"/>
              </w:rPr>
              <w:t>.75</w:t>
            </w:r>
          </w:p>
        </w:tc>
        <w:tc>
          <w:tcPr>
            <w:tcW w:w="1160" w:type="dxa"/>
            <w:tcBorders>
              <w:top w:val="nil"/>
              <w:left w:val="nil"/>
              <w:bottom w:val="nil"/>
              <w:right w:val="nil"/>
            </w:tcBorders>
            <w:shd w:val="clear" w:color="auto" w:fill="auto"/>
            <w:noWrap/>
            <w:vAlign w:val="bottom"/>
            <w:hideMark/>
          </w:tcPr>
          <w:p w14:paraId="362BA270" w14:textId="77777777" w:rsidR="00B415D9" w:rsidRPr="00A850A0" w:rsidRDefault="00B415D9" w:rsidP="00F866EA">
            <w:pPr>
              <w:spacing w:after="0" w:line="240" w:lineRule="auto"/>
              <w:rPr>
                <w:color w:val="000000"/>
              </w:rPr>
            </w:pPr>
            <w:r w:rsidRPr="00A850A0">
              <w:rPr>
                <w:color w:val="000000"/>
              </w:rPr>
              <w:t>.31</w:t>
            </w:r>
          </w:p>
        </w:tc>
        <w:tc>
          <w:tcPr>
            <w:tcW w:w="1160" w:type="dxa"/>
            <w:tcBorders>
              <w:top w:val="nil"/>
              <w:left w:val="nil"/>
              <w:bottom w:val="nil"/>
              <w:right w:val="nil"/>
            </w:tcBorders>
            <w:shd w:val="clear" w:color="auto" w:fill="auto"/>
            <w:noWrap/>
            <w:vAlign w:val="bottom"/>
            <w:hideMark/>
          </w:tcPr>
          <w:p w14:paraId="43036466"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742F825B" w14:textId="77777777" w:rsidR="00B415D9" w:rsidRPr="00A850A0" w:rsidRDefault="00B415D9" w:rsidP="00F866EA">
            <w:pPr>
              <w:spacing w:after="0" w:line="240" w:lineRule="auto"/>
              <w:rPr>
                <w:color w:val="000000"/>
              </w:rPr>
            </w:pPr>
            <w:r w:rsidRPr="00A850A0">
              <w:rPr>
                <w:color w:val="000000"/>
              </w:rPr>
              <w:t>.57</w:t>
            </w:r>
          </w:p>
        </w:tc>
      </w:tr>
      <w:tr w:rsidR="00B415D9" w:rsidRPr="00A850A0" w14:paraId="4BCA3555" w14:textId="77777777" w:rsidTr="00F866EA">
        <w:trPr>
          <w:trHeight w:val="299"/>
        </w:trPr>
        <w:tc>
          <w:tcPr>
            <w:tcW w:w="1959" w:type="dxa"/>
            <w:tcBorders>
              <w:top w:val="nil"/>
              <w:left w:val="nil"/>
              <w:bottom w:val="nil"/>
              <w:right w:val="nil"/>
            </w:tcBorders>
            <w:shd w:val="clear" w:color="auto" w:fill="auto"/>
            <w:noWrap/>
            <w:vAlign w:val="bottom"/>
            <w:hideMark/>
          </w:tcPr>
          <w:p w14:paraId="2FD04106" w14:textId="77777777" w:rsidR="00B415D9" w:rsidRPr="00A850A0" w:rsidRDefault="00B415D9" w:rsidP="00F866EA">
            <w:pPr>
              <w:spacing w:after="0" w:line="240" w:lineRule="auto"/>
              <w:jc w:val="left"/>
              <w:rPr>
                <w:color w:val="000000"/>
              </w:rPr>
            </w:pPr>
            <w:r w:rsidRPr="00A850A0">
              <w:rPr>
                <w:color w:val="000000"/>
              </w:rPr>
              <w:t>Portugal</w:t>
            </w:r>
          </w:p>
        </w:tc>
        <w:tc>
          <w:tcPr>
            <w:tcW w:w="1160" w:type="dxa"/>
            <w:tcBorders>
              <w:top w:val="nil"/>
              <w:left w:val="nil"/>
              <w:bottom w:val="nil"/>
              <w:right w:val="nil"/>
            </w:tcBorders>
            <w:shd w:val="clear" w:color="auto" w:fill="auto"/>
            <w:noWrap/>
            <w:vAlign w:val="bottom"/>
            <w:hideMark/>
          </w:tcPr>
          <w:p w14:paraId="635B44F7" w14:textId="77777777" w:rsidR="00B415D9" w:rsidRPr="00A850A0" w:rsidRDefault="00B415D9" w:rsidP="00F866EA">
            <w:pPr>
              <w:spacing w:after="0" w:line="240" w:lineRule="auto"/>
              <w:rPr>
                <w:color w:val="000000"/>
              </w:rPr>
            </w:pPr>
            <w:r w:rsidRPr="00A850A0">
              <w:rPr>
                <w:color w:val="000000"/>
              </w:rPr>
              <w:t>.75</w:t>
            </w:r>
          </w:p>
        </w:tc>
        <w:tc>
          <w:tcPr>
            <w:tcW w:w="1160" w:type="dxa"/>
            <w:tcBorders>
              <w:top w:val="nil"/>
              <w:left w:val="nil"/>
              <w:bottom w:val="nil"/>
              <w:right w:val="nil"/>
            </w:tcBorders>
            <w:shd w:val="clear" w:color="auto" w:fill="auto"/>
            <w:noWrap/>
            <w:vAlign w:val="bottom"/>
            <w:hideMark/>
          </w:tcPr>
          <w:p w14:paraId="3F71A401" w14:textId="77777777" w:rsidR="00B415D9" w:rsidRPr="00A850A0" w:rsidRDefault="00B415D9" w:rsidP="00F866EA">
            <w:pPr>
              <w:spacing w:after="0" w:line="240" w:lineRule="auto"/>
              <w:rPr>
                <w:color w:val="000000"/>
              </w:rPr>
            </w:pPr>
            <w:r w:rsidRPr="00A850A0">
              <w:rPr>
                <w:color w:val="000000"/>
              </w:rPr>
              <w:t>.19</w:t>
            </w:r>
          </w:p>
        </w:tc>
        <w:tc>
          <w:tcPr>
            <w:tcW w:w="1160" w:type="dxa"/>
            <w:tcBorders>
              <w:top w:val="nil"/>
              <w:left w:val="nil"/>
              <w:bottom w:val="nil"/>
              <w:right w:val="nil"/>
            </w:tcBorders>
            <w:shd w:val="clear" w:color="auto" w:fill="auto"/>
            <w:noWrap/>
            <w:vAlign w:val="bottom"/>
            <w:hideMark/>
          </w:tcPr>
          <w:p w14:paraId="05AD7FE7"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6C10639B" w14:textId="77777777" w:rsidR="00B415D9" w:rsidRPr="00A850A0" w:rsidRDefault="00B415D9" w:rsidP="00F866EA">
            <w:pPr>
              <w:spacing w:after="0" w:line="240" w:lineRule="auto"/>
              <w:rPr>
                <w:color w:val="000000"/>
              </w:rPr>
            </w:pPr>
            <w:r w:rsidRPr="00A850A0">
              <w:rPr>
                <w:color w:val="000000"/>
              </w:rPr>
              <w:t>.56</w:t>
            </w:r>
          </w:p>
        </w:tc>
      </w:tr>
      <w:tr w:rsidR="00B415D9" w:rsidRPr="00A850A0" w14:paraId="0DCA1BCF" w14:textId="77777777" w:rsidTr="00F866EA">
        <w:trPr>
          <w:trHeight w:val="299"/>
        </w:trPr>
        <w:tc>
          <w:tcPr>
            <w:tcW w:w="1959" w:type="dxa"/>
            <w:tcBorders>
              <w:top w:val="nil"/>
              <w:left w:val="nil"/>
              <w:bottom w:val="nil"/>
              <w:right w:val="nil"/>
            </w:tcBorders>
            <w:shd w:val="clear" w:color="auto" w:fill="auto"/>
            <w:noWrap/>
            <w:vAlign w:val="bottom"/>
            <w:hideMark/>
          </w:tcPr>
          <w:p w14:paraId="276CD9D1" w14:textId="77777777" w:rsidR="00B415D9" w:rsidRPr="00A850A0" w:rsidRDefault="00B415D9" w:rsidP="00F866EA">
            <w:pPr>
              <w:spacing w:after="0" w:line="240" w:lineRule="auto"/>
              <w:jc w:val="left"/>
              <w:rPr>
                <w:color w:val="000000"/>
              </w:rPr>
            </w:pPr>
            <w:r w:rsidRPr="00A850A0">
              <w:rPr>
                <w:color w:val="000000"/>
              </w:rPr>
              <w:t>China</w:t>
            </w:r>
          </w:p>
        </w:tc>
        <w:tc>
          <w:tcPr>
            <w:tcW w:w="1160" w:type="dxa"/>
            <w:tcBorders>
              <w:top w:val="nil"/>
              <w:left w:val="nil"/>
              <w:bottom w:val="nil"/>
              <w:right w:val="nil"/>
            </w:tcBorders>
            <w:shd w:val="clear" w:color="auto" w:fill="auto"/>
            <w:noWrap/>
            <w:vAlign w:val="bottom"/>
            <w:hideMark/>
          </w:tcPr>
          <w:p w14:paraId="15ECFBE6" w14:textId="77777777" w:rsidR="00B415D9" w:rsidRPr="00A850A0" w:rsidRDefault="00B415D9" w:rsidP="00F866EA">
            <w:pPr>
              <w:spacing w:after="0" w:line="240" w:lineRule="auto"/>
              <w:rPr>
                <w:color w:val="000000"/>
              </w:rPr>
            </w:pPr>
            <w:r w:rsidRPr="00A850A0">
              <w:rPr>
                <w:color w:val="000000"/>
              </w:rPr>
              <w:t>.74</w:t>
            </w:r>
          </w:p>
        </w:tc>
        <w:tc>
          <w:tcPr>
            <w:tcW w:w="1160" w:type="dxa"/>
            <w:tcBorders>
              <w:top w:val="nil"/>
              <w:left w:val="nil"/>
              <w:bottom w:val="nil"/>
              <w:right w:val="nil"/>
            </w:tcBorders>
            <w:shd w:val="clear" w:color="auto" w:fill="auto"/>
            <w:noWrap/>
            <w:vAlign w:val="bottom"/>
            <w:hideMark/>
          </w:tcPr>
          <w:p w14:paraId="3F885948" w14:textId="77777777" w:rsidR="00B415D9" w:rsidRPr="00A850A0" w:rsidRDefault="00B415D9" w:rsidP="00F866EA">
            <w:pPr>
              <w:spacing w:after="0" w:line="240" w:lineRule="auto"/>
              <w:rPr>
                <w:color w:val="000000"/>
              </w:rPr>
            </w:pPr>
            <w:r w:rsidRPr="00A850A0">
              <w:rPr>
                <w:color w:val="000000"/>
              </w:rPr>
              <w:t>.28</w:t>
            </w:r>
          </w:p>
        </w:tc>
        <w:tc>
          <w:tcPr>
            <w:tcW w:w="1160" w:type="dxa"/>
            <w:tcBorders>
              <w:top w:val="nil"/>
              <w:left w:val="nil"/>
              <w:bottom w:val="nil"/>
              <w:right w:val="nil"/>
            </w:tcBorders>
            <w:shd w:val="clear" w:color="auto" w:fill="auto"/>
            <w:noWrap/>
            <w:vAlign w:val="bottom"/>
            <w:hideMark/>
          </w:tcPr>
          <w:p w14:paraId="6CD5F7DE" w14:textId="77777777" w:rsidR="00B415D9" w:rsidRPr="00A850A0" w:rsidRDefault="00B415D9" w:rsidP="00F866EA">
            <w:pPr>
              <w:spacing w:after="0" w:line="240" w:lineRule="auto"/>
              <w:rPr>
                <w:color w:val="000000"/>
              </w:rPr>
            </w:pPr>
            <w:r w:rsidRPr="00A850A0">
              <w:rPr>
                <w:color w:val="000000"/>
              </w:rPr>
              <w:t>.02</w:t>
            </w:r>
          </w:p>
        </w:tc>
        <w:tc>
          <w:tcPr>
            <w:tcW w:w="1163" w:type="dxa"/>
            <w:tcBorders>
              <w:top w:val="nil"/>
              <w:left w:val="nil"/>
              <w:bottom w:val="nil"/>
              <w:right w:val="nil"/>
            </w:tcBorders>
            <w:shd w:val="clear" w:color="auto" w:fill="auto"/>
            <w:noWrap/>
            <w:vAlign w:val="bottom"/>
            <w:hideMark/>
          </w:tcPr>
          <w:p w14:paraId="6793023F" w14:textId="77777777" w:rsidR="00B415D9" w:rsidRPr="00A850A0" w:rsidRDefault="00B415D9" w:rsidP="00F866EA">
            <w:pPr>
              <w:spacing w:after="0" w:line="240" w:lineRule="auto"/>
              <w:rPr>
                <w:color w:val="000000"/>
              </w:rPr>
            </w:pPr>
            <w:r w:rsidRPr="00A850A0">
              <w:rPr>
                <w:color w:val="000000"/>
              </w:rPr>
              <w:t>.54</w:t>
            </w:r>
          </w:p>
        </w:tc>
      </w:tr>
      <w:tr w:rsidR="00B415D9" w:rsidRPr="00A850A0" w14:paraId="69FDCDFB" w14:textId="77777777" w:rsidTr="00F866EA">
        <w:trPr>
          <w:trHeight w:val="299"/>
        </w:trPr>
        <w:tc>
          <w:tcPr>
            <w:tcW w:w="1959" w:type="dxa"/>
            <w:tcBorders>
              <w:top w:val="nil"/>
              <w:left w:val="nil"/>
              <w:bottom w:val="nil"/>
              <w:right w:val="nil"/>
            </w:tcBorders>
            <w:shd w:val="clear" w:color="auto" w:fill="auto"/>
            <w:noWrap/>
            <w:vAlign w:val="bottom"/>
            <w:hideMark/>
          </w:tcPr>
          <w:p w14:paraId="1D997D6A" w14:textId="77777777" w:rsidR="00B415D9" w:rsidRPr="00A850A0" w:rsidRDefault="00B415D9" w:rsidP="00F866EA">
            <w:pPr>
              <w:spacing w:after="0" w:line="240" w:lineRule="auto"/>
              <w:jc w:val="left"/>
              <w:rPr>
                <w:color w:val="000000"/>
              </w:rPr>
            </w:pPr>
            <w:r w:rsidRPr="00A850A0">
              <w:rPr>
                <w:color w:val="000000"/>
              </w:rPr>
              <w:t>Mexico</w:t>
            </w:r>
          </w:p>
        </w:tc>
        <w:tc>
          <w:tcPr>
            <w:tcW w:w="1160" w:type="dxa"/>
            <w:tcBorders>
              <w:top w:val="nil"/>
              <w:left w:val="nil"/>
              <w:bottom w:val="nil"/>
              <w:right w:val="nil"/>
            </w:tcBorders>
            <w:shd w:val="clear" w:color="auto" w:fill="auto"/>
            <w:noWrap/>
            <w:vAlign w:val="bottom"/>
            <w:hideMark/>
          </w:tcPr>
          <w:p w14:paraId="246CFB3D" w14:textId="77777777" w:rsidR="00B415D9" w:rsidRPr="00A850A0" w:rsidRDefault="00B415D9" w:rsidP="00F866EA">
            <w:pPr>
              <w:spacing w:after="0" w:line="240" w:lineRule="auto"/>
              <w:rPr>
                <w:color w:val="000000"/>
              </w:rPr>
            </w:pPr>
            <w:r w:rsidRPr="00A850A0">
              <w:rPr>
                <w:color w:val="000000"/>
              </w:rPr>
              <w:t>.73</w:t>
            </w:r>
          </w:p>
        </w:tc>
        <w:tc>
          <w:tcPr>
            <w:tcW w:w="1160" w:type="dxa"/>
            <w:tcBorders>
              <w:top w:val="nil"/>
              <w:left w:val="nil"/>
              <w:bottom w:val="nil"/>
              <w:right w:val="nil"/>
            </w:tcBorders>
            <w:shd w:val="clear" w:color="auto" w:fill="auto"/>
            <w:noWrap/>
            <w:vAlign w:val="bottom"/>
            <w:hideMark/>
          </w:tcPr>
          <w:p w14:paraId="03EF21B0" w14:textId="77777777" w:rsidR="00B415D9" w:rsidRPr="00A850A0" w:rsidRDefault="00B415D9" w:rsidP="00F866EA">
            <w:pPr>
              <w:spacing w:after="0" w:line="240" w:lineRule="auto"/>
              <w:rPr>
                <w:color w:val="000000"/>
              </w:rPr>
            </w:pPr>
            <w:r w:rsidRPr="00A850A0">
              <w:rPr>
                <w:color w:val="000000"/>
              </w:rPr>
              <w:t>.32</w:t>
            </w:r>
          </w:p>
        </w:tc>
        <w:tc>
          <w:tcPr>
            <w:tcW w:w="1160" w:type="dxa"/>
            <w:tcBorders>
              <w:top w:val="nil"/>
              <w:left w:val="nil"/>
              <w:bottom w:val="nil"/>
              <w:right w:val="nil"/>
            </w:tcBorders>
            <w:shd w:val="clear" w:color="auto" w:fill="auto"/>
            <w:noWrap/>
            <w:vAlign w:val="bottom"/>
            <w:hideMark/>
          </w:tcPr>
          <w:p w14:paraId="07EC1E34"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084F6C63" w14:textId="77777777" w:rsidR="00B415D9" w:rsidRPr="00A850A0" w:rsidRDefault="00B415D9" w:rsidP="00F866EA">
            <w:pPr>
              <w:spacing w:after="0" w:line="240" w:lineRule="auto"/>
              <w:rPr>
                <w:color w:val="000000"/>
              </w:rPr>
            </w:pPr>
            <w:r w:rsidRPr="00A850A0">
              <w:rPr>
                <w:color w:val="000000"/>
              </w:rPr>
              <w:t>.53</w:t>
            </w:r>
          </w:p>
        </w:tc>
      </w:tr>
      <w:tr w:rsidR="00B415D9" w:rsidRPr="00A850A0" w14:paraId="24F9B1E4" w14:textId="77777777" w:rsidTr="00F866EA">
        <w:trPr>
          <w:trHeight w:val="299"/>
        </w:trPr>
        <w:tc>
          <w:tcPr>
            <w:tcW w:w="1959" w:type="dxa"/>
            <w:tcBorders>
              <w:top w:val="nil"/>
              <w:left w:val="nil"/>
              <w:bottom w:val="nil"/>
              <w:right w:val="nil"/>
            </w:tcBorders>
            <w:shd w:val="clear" w:color="auto" w:fill="auto"/>
            <w:noWrap/>
            <w:vAlign w:val="bottom"/>
            <w:hideMark/>
          </w:tcPr>
          <w:p w14:paraId="48D402FB" w14:textId="77777777" w:rsidR="00B415D9" w:rsidRPr="00A850A0" w:rsidRDefault="00B415D9" w:rsidP="00F866EA">
            <w:pPr>
              <w:spacing w:after="0" w:line="240" w:lineRule="auto"/>
              <w:jc w:val="left"/>
              <w:rPr>
                <w:color w:val="000000"/>
              </w:rPr>
            </w:pPr>
            <w:r w:rsidRPr="00A850A0">
              <w:rPr>
                <w:color w:val="000000"/>
              </w:rPr>
              <w:t>Japan</w:t>
            </w:r>
          </w:p>
        </w:tc>
        <w:tc>
          <w:tcPr>
            <w:tcW w:w="1160" w:type="dxa"/>
            <w:tcBorders>
              <w:top w:val="nil"/>
              <w:left w:val="nil"/>
              <w:bottom w:val="nil"/>
              <w:right w:val="nil"/>
            </w:tcBorders>
            <w:shd w:val="clear" w:color="auto" w:fill="auto"/>
            <w:noWrap/>
            <w:vAlign w:val="bottom"/>
            <w:hideMark/>
          </w:tcPr>
          <w:p w14:paraId="08832723" w14:textId="77777777" w:rsidR="00B415D9" w:rsidRPr="00A850A0" w:rsidRDefault="00B415D9" w:rsidP="00F866EA">
            <w:pPr>
              <w:spacing w:after="0" w:line="240" w:lineRule="auto"/>
              <w:rPr>
                <w:color w:val="000000"/>
              </w:rPr>
            </w:pPr>
            <w:r w:rsidRPr="00A850A0">
              <w:rPr>
                <w:color w:val="000000"/>
              </w:rPr>
              <w:t>.72</w:t>
            </w:r>
          </w:p>
        </w:tc>
        <w:tc>
          <w:tcPr>
            <w:tcW w:w="1160" w:type="dxa"/>
            <w:tcBorders>
              <w:top w:val="nil"/>
              <w:left w:val="nil"/>
              <w:bottom w:val="nil"/>
              <w:right w:val="nil"/>
            </w:tcBorders>
            <w:shd w:val="clear" w:color="auto" w:fill="auto"/>
            <w:noWrap/>
            <w:vAlign w:val="bottom"/>
            <w:hideMark/>
          </w:tcPr>
          <w:p w14:paraId="2A8115ED" w14:textId="77777777" w:rsidR="00B415D9" w:rsidRPr="00A850A0" w:rsidRDefault="00B415D9" w:rsidP="00F866EA">
            <w:pPr>
              <w:spacing w:after="0" w:line="240" w:lineRule="auto"/>
              <w:rPr>
                <w:color w:val="000000"/>
              </w:rPr>
            </w:pPr>
            <w:r w:rsidRPr="00A850A0">
              <w:rPr>
                <w:color w:val="000000"/>
              </w:rPr>
              <w:t>.35</w:t>
            </w:r>
          </w:p>
        </w:tc>
        <w:tc>
          <w:tcPr>
            <w:tcW w:w="1160" w:type="dxa"/>
            <w:tcBorders>
              <w:top w:val="nil"/>
              <w:left w:val="nil"/>
              <w:bottom w:val="nil"/>
              <w:right w:val="nil"/>
            </w:tcBorders>
            <w:shd w:val="clear" w:color="auto" w:fill="auto"/>
            <w:noWrap/>
            <w:vAlign w:val="bottom"/>
            <w:hideMark/>
          </w:tcPr>
          <w:p w14:paraId="3532DF05"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7BA285F3" w14:textId="77777777" w:rsidR="00B415D9" w:rsidRPr="00A850A0" w:rsidRDefault="00B415D9" w:rsidP="00F866EA">
            <w:pPr>
              <w:spacing w:after="0" w:line="240" w:lineRule="auto"/>
              <w:rPr>
                <w:color w:val="000000"/>
              </w:rPr>
            </w:pPr>
            <w:r w:rsidRPr="00A850A0">
              <w:rPr>
                <w:color w:val="000000"/>
              </w:rPr>
              <w:t>.52</w:t>
            </w:r>
          </w:p>
        </w:tc>
      </w:tr>
      <w:tr w:rsidR="00B415D9" w:rsidRPr="00A850A0" w14:paraId="59777664" w14:textId="77777777" w:rsidTr="00F866EA">
        <w:trPr>
          <w:trHeight w:val="299"/>
        </w:trPr>
        <w:tc>
          <w:tcPr>
            <w:tcW w:w="1959" w:type="dxa"/>
            <w:tcBorders>
              <w:top w:val="nil"/>
              <w:left w:val="nil"/>
              <w:bottom w:val="nil"/>
              <w:right w:val="nil"/>
            </w:tcBorders>
            <w:shd w:val="clear" w:color="auto" w:fill="auto"/>
            <w:noWrap/>
            <w:vAlign w:val="bottom"/>
            <w:hideMark/>
          </w:tcPr>
          <w:p w14:paraId="1A2A3FFD" w14:textId="77777777" w:rsidR="00B415D9" w:rsidRPr="00A850A0" w:rsidRDefault="00B415D9" w:rsidP="00F866EA">
            <w:pPr>
              <w:spacing w:after="0" w:line="240" w:lineRule="auto"/>
              <w:jc w:val="left"/>
              <w:rPr>
                <w:color w:val="000000"/>
              </w:rPr>
            </w:pPr>
            <w:r w:rsidRPr="00A850A0">
              <w:rPr>
                <w:color w:val="000000"/>
              </w:rPr>
              <w:t>Philippines</w:t>
            </w:r>
          </w:p>
        </w:tc>
        <w:tc>
          <w:tcPr>
            <w:tcW w:w="1160" w:type="dxa"/>
            <w:tcBorders>
              <w:top w:val="nil"/>
              <w:left w:val="nil"/>
              <w:bottom w:val="nil"/>
              <w:right w:val="nil"/>
            </w:tcBorders>
            <w:shd w:val="clear" w:color="auto" w:fill="auto"/>
            <w:noWrap/>
            <w:vAlign w:val="bottom"/>
            <w:hideMark/>
          </w:tcPr>
          <w:p w14:paraId="61E57D50" w14:textId="77777777" w:rsidR="00B415D9" w:rsidRPr="00A850A0" w:rsidRDefault="00B415D9" w:rsidP="00F866EA">
            <w:pPr>
              <w:spacing w:after="0" w:line="240" w:lineRule="auto"/>
              <w:rPr>
                <w:color w:val="000000"/>
              </w:rPr>
            </w:pPr>
            <w:r w:rsidRPr="00A850A0">
              <w:rPr>
                <w:color w:val="000000"/>
              </w:rPr>
              <w:t>.70</w:t>
            </w:r>
          </w:p>
        </w:tc>
        <w:tc>
          <w:tcPr>
            <w:tcW w:w="1160" w:type="dxa"/>
            <w:tcBorders>
              <w:top w:val="nil"/>
              <w:left w:val="nil"/>
              <w:bottom w:val="nil"/>
              <w:right w:val="nil"/>
            </w:tcBorders>
            <w:shd w:val="clear" w:color="auto" w:fill="auto"/>
            <w:noWrap/>
            <w:vAlign w:val="bottom"/>
            <w:hideMark/>
          </w:tcPr>
          <w:p w14:paraId="3C054CF1" w14:textId="77777777" w:rsidR="00B415D9" w:rsidRPr="00A850A0" w:rsidRDefault="00B415D9" w:rsidP="00F866EA">
            <w:pPr>
              <w:spacing w:after="0" w:line="240" w:lineRule="auto"/>
              <w:rPr>
                <w:color w:val="000000"/>
              </w:rPr>
            </w:pPr>
            <w:r w:rsidRPr="00A850A0">
              <w:rPr>
                <w:color w:val="000000"/>
              </w:rPr>
              <w:t>.29</w:t>
            </w:r>
          </w:p>
        </w:tc>
        <w:tc>
          <w:tcPr>
            <w:tcW w:w="1160" w:type="dxa"/>
            <w:tcBorders>
              <w:top w:val="nil"/>
              <w:left w:val="nil"/>
              <w:bottom w:val="nil"/>
              <w:right w:val="nil"/>
            </w:tcBorders>
            <w:shd w:val="clear" w:color="auto" w:fill="auto"/>
            <w:noWrap/>
            <w:vAlign w:val="bottom"/>
            <w:hideMark/>
          </w:tcPr>
          <w:p w14:paraId="32657C17"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7A563D38" w14:textId="77777777" w:rsidR="00B415D9" w:rsidRPr="00A850A0" w:rsidRDefault="00B415D9" w:rsidP="00F866EA">
            <w:pPr>
              <w:spacing w:after="0" w:line="240" w:lineRule="auto"/>
              <w:rPr>
                <w:color w:val="000000"/>
              </w:rPr>
            </w:pPr>
            <w:r w:rsidRPr="00A850A0">
              <w:rPr>
                <w:color w:val="000000"/>
              </w:rPr>
              <w:t>.48</w:t>
            </w:r>
          </w:p>
        </w:tc>
      </w:tr>
      <w:tr w:rsidR="00B415D9" w:rsidRPr="00A850A0" w14:paraId="25FE3101" w14:textId="77777777" w:rsidTr="00F866EA">
        <w:trPr>
          <w:trHeight w:val="299"/>
        </w:trPr>
        <w:tc>
          <w:tcPr>
            <w:tcW w:w="1959" w:type="dxa"/>
            <w:tcBorders>
              <w:top w:val="nil"/>
              <w:left w:val="nil"/>
              <w:bottom w:val="nil"/>
              <w:right w:val="nil"/>
            </w:tcBorders>
            <w:shd w:val="clear" w:color="auto" w:fill="auto"/>
            <w:noWrap/>
            <w:vAlign w:val="bottom"/>
            <w:hideMark/>
          </w:tcPr>
          <w:p w14:paraId="5705CDA4" w14:textId="77777777" w:rsidR="00B415D9" w:rsidRPr="00A850A0" w:rsidRDefault="00B415D9" w:rsidP="00F866EA">
            <w:pPr>
              <w:spacing w:after="0" w:line="240" w:lineRule="auto"/>
              <w:jc w:val="left"/>
              <w:rPr>
                <w:color w:val="000000"/>
              </w:rPr>
            </w:pPr>
            <w:r w:rsidRPr="00A850A0">
              <w:rPr>
                <w:color w:val="000000"/>
              </w:rPr>
              <w:t>Malaysia</w:t>
            </w:r>
          </w:p>
        </w:tc>
        <w:tc>
          <w:tcPr>
            <w:tcW w:w="1160" w:type="dxa"/>
            <w:tcBorders>
              <w:top w:val="nil"/>
              <w:left w:val="nil"/>
              <w:bottom w:val="nil"/>
              <w:right w:val="nil"/>
            </w:tcBorders>
            <w:shd w:val="clear" w:color="auto" w:fill="auto"/>
            <w:noWrap/>
            <w:vAlign w:val="bottom"/>
            <w:hideMark/>
          </w:tcPr>
          <w:p w14:paraId="14AEFB53" w14:textId="77777777" w:rsidR="00B415D9" w:rsidRPr="00A850A0" w:rsidRDefault="00B415D9" w:rsidP="00F866EA">
            <w:pPr>
              <w:spacing w:after="0" w:line="240" w:lineRule="auto"/>
              <w:rPr>
                <w:color w:val="000000"/>
              </w:rPr>
            </w:pPr>
            <w:r w:rsidRPr="00A850A0">
              <w:rPr>
                <w:color w:val="000000"/>
              </w:rPr>
              <w:t>.66</w:t>
            </w:r>
          </w:p>
        </w:tc>
        <w:tc>
          <w:tcPr>
            <w:tcW w:w="1160" w:type="dxa"/>
            <w:tcBorders>
              <w:top w:val="nil"/>
              <w:left w:val="nil"/>
              <w:bottom w:val="nil"/>
              <w:right w:val="nil"/>
            </w:tcBorders>
            <w:shd w:val="clear" w:color="auto" w:fill="auto"/>
            <w:noWrap/>
            <w:vAlign w:val="bottom"/>
            <w:hideMark/>
          </w:tcPr>
          <w:p w14:paraId="17EC6477" w14:textId="77777777" w:rsidR="00B415D9" w:rsidRPr="00A850A0" w:rsidRDefault="00B415D9" w:rsidP="00F866EA">
            <w:pPr>
              <w:spacing w:after="0" w:line="240" w:lineRule="auto"/>
              <w:rPr>
                <w:color w:val="000000"/>
              </w:rPr>
            </w:pPr>
            <w:r w:rsidRPr="00A850A0">
              <w:rPr>
                <w:color w:val="000000"/>
              </w:rPr>
              <w:t>.33</w:t>
            </w:r>
          </w:p>
        </w:tc>
        <w:tc>
          <w:tcPr>
            <w:tcW w:w="1160" w:type="dxa"/>
            <w:tcBorders>
              <w:top w:val="nil"/>
              <w:left w:val="nil"/>
              <w:bottom w:val="nil"/>
              <w:right w:val="nil"/>
            </w:tcBorders>
            <w:shd w:val="clear" w:color="auto" w:fill="auto"/>
            <w:noWrap/>
            <w:vAlign w:val="bottom"/>
            <w:hideMark/>
          </w:tcPr>
          <w:p w14:paraId="62D6DD61" w14:textId="77777777" w:rsidR="00B415D9" w:rsidRPr="00A850A0" w:rsidRDefault="00B415D9" w:rsidP="00F866EA">
            <w:pPr>
              <w:spacing w:after="0" w:line="240" w:lineRule="auto"/>
              <w:rPr>
                <w:color w:val="000000"/>
              </w:rPr>
            </w:pPr>
            <w:r w:rsidRPr="00A850A0">
              <w:rPr>
                <w:color w:val="000000"/>
              </w:rPr>
              <w:t>.05</w:t>
            </w:r>
          </w:p>
        </w:tc>
        <w:tc>
          <w:tcPr>
            <w:tcW w:w="1163" w:type="dxa"/>
            <w:tcBorders>
              <w:top w:val="nil"/>
              <w:left w:val="nil"/>
              <w:bottom w:val="nil"/>
              <w:right w:val="nil"/>
            </w:tcBorders>
            <w:shd w:val="clear" w:color="auto" w:fill="auto"/>
            <w:noWrap/>
            <w:vAlign w:val="bottom"/>
            <w:hideMark/>
          </w:tcPr>
          <w:p w14:paraId="67F7BC42" w14:textId="77777777" w:rsidR="00B415D9" w:rsidRPr="00A850A0" w:rsidRDefault="00B415D9" w:rsidP="00F866EA">
            <w:pPr>
              <w:spacing w:after="0" w:line="240" w:lineRule="auto"/>
              <w:rPr>
                <w:color w:val="000000"/>
              </w:rPr>
            </w:pPr>
            <w:r w:rsidRPr="00A850A0">
              <w:rPr>
                <w:color w:val="000000"/>
              </w:rPr>
              <w:t>.44</w:t>
            </w:r>
          </w:p>
        </w:tc>
      </w:tr>
      <w:tr w:rsidR="00B415D9" w:rsidRPr="00A850A0" w14:paraId="62955E6F" w14:textId="77777777" w:rsidTr="00F866EA">
        <w:trPr>
          <w:trHeight w:val="299"/>
        </w:trPr>
        <w:tc>
          <w:tcPr>
            <w:tcW w:w="1959" w:type="dxa"/>
            <w:tcBorders>
              <w:top w:val="nil"/>
              <w:left w:val="nil"/>
              <w:bottom w:val="nil"/>
              <w:right w:val="nil"/>
            </w:tcBorders>
            <w:shd w:val="clear" w:color="auto" w:fill="auto"/>
            <w:noWrap/>
            <w:vAlign w:val="bottom"/>
            <w:hideMark/>
          </w:tcPr>
          <w:p w14:paraId="23AAC4F6" w14:textId="77777777" w:rsidR="00B415D9" w:rsidRPr="00A850A0" w:rsidRDefault="00B415D9" w:rsidP="00F866EA">
            <w:pPr>
              <w:spacing w:after="0" w:line="240" w:lineRule="auto"/>
              <w:jc w:val="left"/>
              <w:rPr>
                <w:color w:val="000000"/>
              </w:rPr>
            </w:pPr>
            <w:r w:rsidRPr="00A850A0">
              <w:rPr>
                <w:color w:val="000000"/>
              </w:rPr>
              <w:t>Pakistan</w:t>
            </w:r>
          </w:p>
        </w:tc>
        <w:tc>
          <w:tcPr>
            <w:tcW w:w="1160" w:type="dxa"/>
            <w:tcBorders>
              <w:top w:val="nil"/>
              <w:left w:val="nil"/>
              <w:bottom w:val="nil"/>
              <w:right w:val="nil"/>
            </w:tcBorders>
            <w:shd w:val="clear" w:color="auto" w:fill="auto"/>
            <w:noWrap/>
            <w:vAlign w:val="bottom"/>
            <w:hideMark/>
          </w:tcPr>
          <w:p w14:paraId="6952E3C9" w14:textId="77777777" w:rsidR="00B415D9" w:rsidRPr="00A850A0" w:rsidRDefault="00B415D9" w:rsidP="00F866EA">
            <w:pPr>
              <w:spacing w:after="0" w:line="240" w:lineRule="auto"/>
              <w:rPr>
                <w:color w:val="000000"/>
              </w:rPr>
            </w:pPr>
            <w:r w:rsidRPr="00A850A0">
              <w:rPr>
                <w:color w:val="000000"/>
              </w:rPr>
              <w:t>.66</w:t>
            </w:r>
          </w:p>
        </w:tc>
        <w:tc>
          <w:tcPr>
            <w:tcW w:w="1160" w:type="dxa"/>
            <w:tcBorders>
              <w:top w:val="nil"/>
              <w:left w:val="nil"/>
              <w:bottom w:val="nil"/>
              <w:right w:val="nil"/>
            </w:tcBorders>
            <w:shd w:val="clear" w:color="auto" w:fill="auto"/>
            <w:noWrap/>
            <w:vAlign w:val="bottom"/>
            <w:hideMark/>
          </w:tcPr>
          <w:p w14:paraId="2BF98EBB" w14:textId="77777777" w:rsidR="00B415D9" w:rsidRPr="00A850A0" w:rsidRDefault="00B415D9" w:rsidP="00F866EA">
            <w:pPr>
              <w:spacing w:after="0" w:line="240" w:lineRule="auto"/>
              <w:rPr>
                <w:color w:val="000000"/>
              </w:rPr>
            </w:pPr>
            <w:r w:rsidRPr="00A850A0">
              <w:rPr>
                <w:color w:val="000000"/>
              </w:rPr>
              <w:t>.20</w:t>
            </w:r>
          </w:p>
        </w:tc>
        <w:tc>
          <w:tcPr>
            <w:tcW w:w="1160" w:type="dxa"/>
            <w:tcBorders>
              <w:top w:val="nil"/>
              <w:left w:val="nil"/>
              <w:bottom w:val="nil"/>
              <w:right w:val="nil"/>
            </w:tcBorders>
            <w:shd w:val="clear" w:color="auto" w:fill="auto"/>
            <w:noWrap/>
            <w:vAlign w:val="bottom"/>
            <w:hideMark/>
          </w:tcPr>
          <w:p w14:paraId="1FE56750"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3EB93790" w14:textId="77777777" w:rsidR="00B415D9" w:rsidRPr="00A850A0" w:rsidRDefault="00B415D9" w:rsidP="00F866EA">
            <w:pPr>
              <w:spacing w:after="0" w:line="240" w:lineRule="auto"/>
              <w:rPr>
                <w:color w:val="000000"/>
              </w:rPr>
            </w:pPr>
            <w:r w:rsidRPr="00A850A0">
              <w:rPr>
                <w:color w:val="000000"/>
              </w:rPr>
              <w:t>.43</w:t>
            </w:r>
          </w:p>
        </w:tc>
      </w:tr>
      <w:tr w:rsidR="00B415D9" w:rsidRPr="00A850A0" w14:paraId="2685A6F8" w14:textId="77777777" w:rsidTr="00F866EA">
        <w:trPr>
          <w:trHeight w:val="299"/>
        </w:trPr>
        <w:tc>
          <w:tcPr>
            <w:tcW w:w="1959" w:type="dxa"/>
            <w:tcBorders>
              <w:top w:val="nil"/>
              <w:left w:val="nil"/>
              <w:bottom w:val="nil"/>
              <w:right w:val="nil"/>
            </w:tcBorders>
            <w:shd w:val="clear" w:color="auto" w:fill="auto"/>
            <w:noWrap/>
            <w:vAlign w:val="bottom"/>
            <w:hideMark/>
          </w:tcPr>
          <w:p w14:paraId="1754C156" w14:textId="77777777" w:rsidR="00B415D9" w:rsidRPr="00A850A0" w:rsidRDefault="00B415D9" w:rsidP="00F866EA">
            <w:pPr>
              <w:spacing w:after="0" w:line="240" w:lineRule="auto"/>
              <w:jc w:val="left"/>
              <w:rPr>
                <w:color w:val="000000"/>
              </w:rPr>
            </w:pPr>
            <w:r w:rsidRPr="00A850A0">
              <w:rPr>
                <w:color w:val="000000"/>
              </w:rPr>
              <w:t>Greece</w:t>
            </w:r>
          </w:p>
        </w:tc>
        <w:tc>
          <w:tcPr>
            <w:tcW w:w="1160" w:type="dxa"/>
            <w:tcBorders>
              <w:top w:val="nil"/>
              <w:left w:val="nil"/>
              <w:bottom w:val="nil"/>
              <w:right w:val="nil"/>
            </w:tcBorders>
            <w:shd w:val="clear" w:color="auto" w:fill="auto"/>
            <w:noWrap/>
            <w:vAlign w:val="bottom"/>
            <w:hideMark/>
          </w:tcPr>
          <w:p w14:paraId="2989C122" w14:textId="77777777" w:rsidR="00B415D9" w:rsidRPr="00A850A0" w:rsidRDefault="00B415D9" w:rsidP="00F866EA">
            <w:pPr>
              <w:spacing w:after="0" w:line="240" w:lineRule="auto"/>
              <w:rPr>
                <w:color w:val="000000"/>
              </w:rPr>
            </w:pPr>
            <w:r w:rsidRPr="00A850A0">
              <w:rPr>
                <w:color w:val="000000"/>
              </w:rPr>
              <w:t>.65</w:t>
            </w:r>
          </w:p>
        </w:tc>
        <w:tc>
          <w:tcPr>
            <w:tcW w:w="1160" w:type="dxa"/>
            <w:tcBorders>
              <w:top w:val="nil"/>
              <w:left w:val="nil"/>
              <w:bottom w:val="nil"/>
              <w:right w:val="nil"/>
            </w:tcBorders>
            <w:shd w:val="clear" w:color="auto" w:fill="auto"/>
            <w:noWrap/>
            <w:vAlign w:val="bottom"/>
            <w:hideMark/>
          </w:tcPr>
          <w:p w14:paraId="24C2F45E" w14:textId="77777777" w:rsidR="00B415D9" w:rsidRPr="00A850A0" w:rsidRDefault="00B415D9" w:rsidP="00F866EA">
            <w:pPr>
              <w:spacing w:after="0" w:line="240" w:lineRule="auto"/>
              <w:rPr>
                <w:color w:val="000000"/>
              </w:rPr>
            </w:pPr>
            <w:r w:rsidRPr="00A850A0">
              <w:rPr>
                <w:color w:val="000000"/>
              </w:rPr>
              <w:t>.25</w:t>
            </w:r>
          </w:p>
        </w:tc>
        <w:tc>
          <w:tcPr>
            <w:tcW w:w="1160" w:type="dxa"/>
            <w:tcBorders>
              <w:top w:val="nil"/>
              <w:left w:val="nil"/>
              <w:bottom w:val="nil"/>
              <w:right w:val="nil"/>
            </w:tcBorders>
            <w:shd w:val="clear" w:color="auto" w:fill="auto"/>
            <w:noWrap/>
            <w:vAlign w:val="bottom"/>
            <w:hideMark/>
          </w:tcPr>
          <w:p w14:paraId="66258AC5"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nil"/>
              <w:right w:val="nil"/>
            </w:tcBorders>
            <w:shd w:val="clear" w:color="auto" w:fill="auto"/>
            <w:noWrap/>
            <w:vAlign w:val="bottom"/>
            <w:hideMark/>
          </w:tcPr>
          <w:p w14:paraId="4949927D" w14:textId="77777777" w:rsidR="00B415D9" w:rsidRPr="00A850A0" w:rsidRDefault="00B415D9" w:rsidP="00F866EA">
            <w:pPr>
              <w:spacing w:after="0" w:line="240" w:lineRule="auto"/>
              <w:rPr>
                <w:color w:val="000000"/>
              </w:rPr>
            </w:pPr>
            <w:r w:rsidRPr="00A850A0">
              <w:rPr>
                <w:color w:val="000000"/>
              </w:rPr>
              <w:t>.43</w:t>
            </w:r>
          </w:p>
        </w:tc>
      </w:tr>
      <w:tr w:rsidR="00B415D9" w:rsidRPr="00A850A0" w14:paraId="41DCE568" w14:textId="77777777" w:rsidTr="00F866EA">
        <w:trPr>
          <w:trHeight w:val="299"/>
        </w:trPr>
        <w:tc>
          <w:tcPr>
            <w:tcW w:w="1959" w:type="dxa"/>
            <w:tcBorders>
              <w:top w:val="nil"/>
              <w:left w:val="nil"/>
              <w:bottom w:val="nil"/>
              <w:right w:val="nil"/>
            </w:tcBorders>
            <w:shd w:val="clear" w:color="auto" w:fill="auto"/>
            <w:noWrap/>
            <w:vAlign w:val="bottom"/>
            <w:hideMark/>
          </w:tcPr>
          <w:p w14:paraId="70633E99" w14:textId="77777777" w:rsidR="00B415D9" w:rsidRPr="00A850A0" w:rsidRDefault="00B415D9" w:rsidP="00F866EA">
            <w:pPr>
              <w:spacing w:after="0" w:line="240" w:lineRule="auto"/>
              <w:jc w:val="left"/>
              <w:rPr>
                <w:color w:val="000000"/>
              </w:rPr>
            </w:pPr>
            <w:r w:rsidRPr="00A850A0">
              <w:rPr>
                <w:color w:val="000000"/>
              </w:rPr>
              <w:t>Bolivia</w:t>
            </w:r>
          </w:p>
        </w:tc>
        <w:tc>
          <w:tcPr>
            <w:tcW w:w="1160" w:type="dxa"/>
            <w:tcBorders>
              <w:top w:val="nil"/>
              <w:left w:val="nil"/>
              <w:bottom w:val="nil"/>
              <w:right w:val="nil"/>
            </w:tcBorders>
            <w:shd w:val="clear" w:color="auto" w:fill="auto"/>
            <w:noWrap/>
            <w:vAlign w:val="bottom"/>
            <w:hideMark/>
          </w:tcPr>
          <w:p w14:paraId="2A6570DD" w14:textId="77777777" w:rsidR="00B415D9" w:rsidRPr="00A850A0" w:rsidRDefault="00B415D9" w:rsidP="00F866EA">
            <w:pPr>
              <w:spacing w:after="0" w:line="240" w:lineRule="auto"/>
              <w:rPr>
                <w:color w:val="000000"/>
              </w:rPr>
            </w:pPr>
            <w:r w:rsidRPr="00A850A0">
              <w:rPr>
                <w:color w:val="000000"/>
              </w:rPr>
              <w:t>.62</w:t>
            </w:r>
          </w:p>
        </w:tc>
        <w:tc>
          <w:tcPr>
            <w:tcW w:w="1160" w:type="dxa"/>
            <w:tcBorders>
              <w:top w:val="nil"/>
              <w:left w:val="nil"/>
              <w:bottom w:val="nil"/>
              <w:right w:val="nil"/>
            </w:tcBorders>
            <w:shd w:val="clear" w:color="auto" w:fill="auto"/>
            <w:noWrap/>
            <w:vAlign w:val="bottom"/>
            <w:hideMark/>
          </w:tcPr>
          <w:p w14:paraId="10A79CBD" w14:textId="77777777" w:rsidR="00B415D9" w:rsidRPr="00A850A0" w:rsidRDefault="00B415D9" w:rsidP="00F866EA">
            <w:pPr>
              <w:spacing w:after="0" w:line="240" w:lineRule="auto"/>
              <w:rPr>
                <w:color w:val="000000"/>
              </w:rPr>
            </w:pPr>
            <w:r w:rsidRPr="00A850A0">
              <w:rPr>
                <w:color w:val="000000"/>
              </w:rPr>
              <w:t>.32</w:t>
            </w:r>
          </w:p>
        </w:tc>
        <w:tc>
          <w:tcPr>
            <w:tcW w:w="1160" w:type="dxa"/>
            <w:tcBorders>
              <w:top w:val="nil"/>
              <w:left w:val="nil"/>
              <w:bottom w:val="nil"/>
              <w:right w:val="nil"/>
            </w:tcBorders>
            <w:shd w:val="clear" w:color="auto" w:fill="auto"/>
            <w:noWrap/>
            <w:vAlign w:val="bottom"/>
            <w:hideMark/>
          </w:tcPr>
          <w:p w14:paraId="0934B8F5" w14:textId="77777777" w:rsidR="00B415D9" w:rsidRPr="00A850A0" w:rsidRDefault="00B415D9" w:rsidP="00F866EA">
            <w:pPr>
              <w:spacing w:after="0" w:line="240" w:lineRule="auto"/>
              <w:rPr>
                <w:color w:val="000000"/>
              </w:rPr>
            </w:pPr>
            <w:r w:rsidRPr="00A850A0">
              <w:rPr>
                <w:color w:val="000000"/>
              </w:rPr>
              <w:t>.05</w:t>
            </w:r>
          </w:p>
        </w:tc>
        <w:tc>
          <w:tcPr>
            <w:tcW w:w="1163" w:type="dxa"/>
            <w:tcBorders>
              <w:top w:val="nil"/>
              <w:left w:val="nil"/>
              <w:bottom w:val="nil"/>
              <w:right w:val="nil"/>
            </w:tcBorders>
            <w:shd w:val="clear" w:color="auto" w:fill="auto"/>
            <w:noWrap/>
            <w:vAlign w:val="bottom"/>
            <w:hideMark/>
          </w:tcPr>
          <w:p w14:paraId="46A84E9E" w14:textId="77777777" w:rsidR="00B415D9" w:rsidRPr="00A850A0" w:rsidRDefault="00B415D9" w:rsidP="00F866EA">
            <w:pPr>
              <w:spacing w:after="0" w:line="240" w:lineRule="auto"/>
              <w:rPr>
                <w:color w:val="000000"/>
              </w:rPr>
            </w:pPr>
            <w:r w:rsidRPr="00A850A0">
              <w:rPr>
                <w:color w:val="000000"/>
              </w:rPr>
              <w:t>.38</w:t>
            </w:r>
          </w:p>
        </w:tc>
      </w:tr>
      <w:tr w:rsidR="00B415D9" w:rsidRPr="00A850A0" w14:paraId="02AD040B" w14:textId="77777777" w:rsidTr="00F866EA">
        <w:trPr>
          <w:trHeight w:val="299"/>
        </w:trPr>
        <w:tc>
          <w:tcPr>
            <w:tcW w:w="1959" w:type="dxa"/>
            <w:tcBorders>
              <w:top w:val="nil"/>
              <w:left w:val="nil"/>
              <w:bottom w:val="nil"/>
              <w:right w:val="nil"/>
            </w:tcBorders>
            <w:shd w:val="clear" w:color="auto" w:fill="auto"/>
            <w:noWrap/>
            <w:vAlign w:val="bottom"/>
            <w:hideMark/>
          </w:tcPr>
          <w:p w14:paraId="525990BC" w14:textId="77777777" w:rsidR="00B415D9" w:rsidRPr="00A850A0" w:rsidRDefault="00B415D9" w:rsidP="00F866EA">
            <w:pPr>
              <w:spacing w:after="0" w:line="240" w:lineRule="auto"/>
              <w:jc w:val="left"/>
              <w:rPr>
                <w:color w:val="000000"/>
              </w:rPr>
            </w:pPr>
            <w:r w:rsidRPr="00A850A0">
              <w:rPr>
                <w:color w:val="000000"/>
              </w:rPr>
              <w:t>Colombia</w:t>
            </w:r>
          </w:p>
        </w:tc>
        <w:tc>
          <w:tcPr>
            <w:tcW w:w="1160" w:type="dxa"/>
            <w:tcBorders>
              <w:top w:val="nil"/>
              <w:left w:val="nil"/>
              <w:bottom w:val="nil"/>
              <w:right w:val="nil"/>
            </w:tcBorders>
            <w:shd w:val="clear" w:color="auto" w:fill="auto"/>
            <w:noWrap/>
            <w:vAlign w:val="bottom"/>
            <w:hideMark/>
          </w:tcPr>
          <w:p w14:paraId="511260DA" w14:textId="77777777" w:rsidR="00B415D9" w:rsidRPr="00A850A0" w:rsidRDefault="00B415D9" w:rsidP="00F866EA">
            <w:pPr>
              <w:spacing w:after="0" w:line="240" w:lineRule="auto"/>
              <w:rPr>
                <w:color w:val="000000"/>
              </w:rPr>
            </w:pPr>
            <w:r w:rsidRPr="00A850A0">
              <w:rPr>
                <w:color w:val="000000"/>
              </w:rPr>
              <w:t>.56</w:t>
            </w:r>
          </w:p>
        </w:tc>
        <w:tc>
          <w:tcPr>
            <w:tcW w:w="1160" w:type="dxa"/>
            <w:tcBorders>
              <w:top w:val="nil"/>
              <w:left w:val="nil"/>
              <w:bottom w:val="nil"/>
              <w:right w:val="nil"/>
            </w:tcBorders>
            <w:shd w:val="clear" w:color="auto" w:fill="auto"/>
            <w:noWrap/>
            <w:vAlign w:val="bottom"/>
            <w:hideMark/>
          </w:tcPr>
          <w:p w14:paraId="491A5BE5" w14:textId="77777777" w:rsidR="00B415D9" w:rsidRPr="00A850A0" w:rsidRDefault="00B415D9" w:rsidP="00F866EA">
            <w:pPr>
              <w:spacing w:after="0" w:line="240" w:lineRule="auto"/>
              <w:rPr>
                <w:color w:val="000000"/>
              </w:rPr>
            </w:pPr>
            <w:r w:rsidRPr="00A850A0">
              <w:rPr>
                <w:color w:val="000000"/>
              </w:rPr>
              <w:t>.24</w:t>
            </w:r>
          </w:p>
        </w:tc>
        <w:tc>
          <w:tcPr>
            <w:tcW w:w="1160" w:type="dxa"/>
            <w:tcBorders>
              <w:top w:val="nil"/>
              <w:left w:val="nil"/>
              <w:bottom w:val="nil"/>
              <w:right w:val="nil"/>
            </w:tcBorders>
            <w:shd w:val="clear" w:color="auto" w:fill="auto"/>
            <w:noWrap/>
            <w:vAlign w:val="bottom"/>
            <w:hideMark/>
          </w:tcPr>
          <w:p w14:paraId="13442BB9"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394E0F48" w14:textId="77777777" w:rsidR="00B415D9" w:rsidRPr="00A850A0" w:rsidRDefault="00B415D9" w:rsidP="00F866EA">
            <w:pPr>
              <w:spacing w:after="0" w:line="240" w:lineRule="auto"/>
              <w:rPr>
                <w:color w:val="000000"/>
              </w:rPr>
            </w:pPr>
            <w:r w:rsidRPr="00A850A0">
              <w:rPr>
                <w:color w:val="000000"/>
              </w:rPr>
              <w:t>.32</w:t>
            </w:r>
          </w:p>
        </w:tc>
      </w:tr>
      <w:tr w:rsidR="00B415D9" w:rsidRPr="00A850A0" w14:paraId="08E6BE53" w14:textId="77777777" w:rsidTr="00F866EA">
        <w:trPr>
          <w:trHeight w:val="299"/>
        </w:trPr>
        <w:tc>
          <w:tcPr>
            <w:tcW w:w="1959" w:type="dxa"/>
            <w:tcBorders>
              <w:top w:val="nil"/>
              <w:left w:val="nil"/>
              <w:bottom w:val="nil"/>
              <w:right w:val="nil"/>
            </w:tcBorders>
            <w:shd w:val="clear" w:color="auto" w:fill="auto"/>
            <w:noWrap/>
            <w:vAlign w:val="bottom"/>
            <w:hideMark/>
          </w:tcPr>
          <w:p w14:paraId="4280C707" w14:textId="77777777" w:rsidR="00B415D9" w:rsidRPr="00A850A0" w:rsidRDefault="00B415D9" w:rsidP="00F866EA">
            <w:pPr>
              <w:spacing w:after="0" w:line="240" w:lineRule="auto"/>
              <w:jc w:val="left"/>
              <w:rPr>
                <w:color w:val="000000"/>
              </w:rPr>
            </w:pPr>
            <w:r w:rsidRPr="00A850A0">
              <w:rPr>
                <w:color w:val="000000"/>
              </w:rPr>
              <w:t>Nigeria</w:t>
            </w:r>
          </w:p>
        </w:tc>
        <w:tc>
          <w:tcPr>
            <w:tcW w:w="1160" w:type="dxa"/>
            <w:tcBorders>
              <w:top w:val="nil"/>
              <w:left w:val="nil"/>
              <w:bottom w:val="nil"/>
              <w:right w:val="nil"/>
            </w:tcBorders>
            <w:shd w:val="clear" w:color="auto" w:fill="auto"/>
            <w:noWrap/>
            <w:vAlign w:val="bottom"/>
            <w:hideMark/>
          </w:tcPr>
          <w:p w14:paraId="616037C0" w14:textId="77777777" w:rsidR="00B415D9" w:rsidRPr="00A850A0" w:rsidRDefault="00B415D9" w:rsidP="00F866EA">
            <w:pPr>
              <w:spacing w:after="0" w:line="240" w:lineRule="auto"/>
              <w:rPr>
                <w:color w:val="000000"/>
              </w:rPr>
            </w:pPr>
            <w:r w:rsidRPr="00A850A0">
              <w:rPr>
                <w:color w:val="000000"/>
              </w:rPr>
              <w:t>.56</w:t>
            </w:r>
          </w:p>
        </w:tc>
        <w:tc>
          <w:tcPr>
            <w:tcW w:w="1160" w:type="dxa"/>
            <w:tcBorders>
              <w:top w:val="nil"/>
              <w:left w:val="nil"/>
              <w:bottom w:val="nil"/>
              <w:right w:val="nil"/>
            </w:tcBorders>
            <w:shd w:val="clear" w:color="auto" w:fill="auto"/>
            <w:noWrap/>
            <w:vAlign w:val="bottom"/>
            <w:hideMark/>
          </w:tcPr>
          <w:p w14:paraId="4347BA49" w14:textId="77777777" w:rsidR="00B415D9" w:rsidRPr="00A850A0" w:rsidRDefault="00B415D9" w:rsidP="00F866EA">
            <w:pPr>
              <w:spacing w:after="0" w:line="240" w:lineRule="auto"/>
              <w:rPr>
                <w:color w:val="000000"/>
              </w:rPr>
            </w:pPr>
            <w:r w:rsidRPr="00A850A0">
              <w:rPr>
                <w:color w:val="000000"/>
              </w:rPr>
              <w:t>.20</w:t>
            </w:r>
          </w:p>
        </w:tc>
        <w:tc>
          <w:tcPr>
            <w:tcW w:w="1160" w:type="dxa"/>
            <w:tcBorders>
              <w:top w:val="nil"/>
              <w:left w:val="nil"/>
              <w:bottom w:val="nil"/>
              <w:right w:val="nil"/>
            </w:tcBorders>
            <w:shd w:val="clear" w:color="auto" w:fill="auto"/>
            <w:noWrap/>
            <w:vAlign w:val="bottom"/>
            <w:hideMark/>
          </w:tcPr>
          <w:p w14:paraId="31C24DD3" w14:textId="77777777" w:rsidR="00B415D9" w:rsidRPr="00A850A0" w:rsidRDefault="00B415D9" w:rsidP="00F866EA">
            <w:pPr>
              <w:spacing w:after="0" w:line="240" w:lineRule="auto"/>
              <w:rPr>
                <w:color w:val="000000"/>
              </w:rPr>
            </w:pPr>
            <w:r w:rsidRPr="00A850A0">
              <w:rPr>
                <w:color w:val="000000"/>
              </w:rPr>
              <w:t>.04</w:t>
            </w:r>
          </w:p>
        </w:tc>
        <w:tc>
          <w:tcPr>
            <w:tcW w:w="1163" w:type="dxa"/>
            <w:tcBorders>
              <w:top w:val="nil"/>
              <w:left w:val="nil"/>
              <w:bottom w:val="nil"/>
              <w:right w:val="nil"/>
            </w:tcBorders>
            <w:shd w:val="clear" w:color="auto" w:fill="auto"/>
            <w:noWrap/>
            <w:vAlign w:val="bottom"/>
            <w:hideMark/>
          </w:tcPr>
          <w:p w14:paraId="06306030" w14:textId="77777777" w:rsidR="00B415D9" w:rsidRPr="00A850A0" w:rsidRDefault="00B415D9" w:rsidP="00F866EA">
            <w:pPr>
              <w:spacing w:after="0" w:line="240" w:lineRule="auto"/>
              <w:rPr>
                <w:color w:val="000000"/>
              </w:rPr>
            </w:pPr>
            <w:r w:rsidRPr="00A850A0">
              <w:rPr>
                <w:color w:val="000000"/>
              </w:rPr>
              <w:t>.31</w:t>
            </w:r>
          </w:p>
        </w:tc>
      </w:tr>
      <w:tr w:rsidR="00B415D9" w:rsidRPr="00A850A0" w14:paraId="00CD3574" w14:textId="77777777" w:rsidTr="00F866EA">
        <w:trPr>
          <w:trHeight w:val="299"/>
        </w:trPr>
        <w:tc>
          <w:tcPr>
            <w:tcW w:w="1959" w:type="dxa"/>
            <w:tcBorders>
              <w:top w:val="nil"/>
              <w:left w:val="nil"/>
              <w:bottom w:val="nil"/>
              <w:right w:val="nil"/>
            </w:tcBorders>
            <w:shd w:val="clear" w:color="auto" w:fill="auto"/>
            <w:noWrap/>
            <w:vAlign w:val="bottom"/>
            <w:hideMark/>
          </w:tcPr>
          <w:p w14:paraId="17202210" w14:textId="77777777" w:rsidR="00B415D9" w:rsidRPr="00A850A0" w:rsidRDefault="00B415D9" w:rsidP="00F866EA">
            <w:pPr>
              <w:spacing w:after="0" w:line="240" w:lineRule="auto"/>
              <w:jc w:val="left"/>
              <w:rPr>
                <w:color w:val="000000"/>
              </w:rPr>
            </w:pPr>
            <w:r w:rsidRPr="00A850A0">
              <w:rPr>
                <w:color w:val="000000"/>
              </w:rPr>
              <w:t>Uganda</w:t>
            </w:r>
          </w:p>
        </w:tc>
        <w:tc>
          <w:tcPr>
            <w:tcW w:w="1160" w:type="dxa"/>
            <w:tcBorders>
              <w:top w:val="nil"/>
              <w:left w:val="nil"/>
              <w:bottom w:val="nil"/>
              <w:right w:val="nil"/>
            </w:tcBorders>
            <w:shd w:val="clear" w:color="auto" w:fill="auto"/>
            <w:noWrap/>
            <w:vAlign w:val="bottom"/>
            <w:hideMark/>
          </w:tcPr>
          <w:p w14:paraId="46C78439" w14:textId="77777777" w:rsidR="00B415D9" w:rsidRPr="00A850A0" w:rsidRDefault="00B415D9" w:rsidP="00F866EA">
            <w:pPr>
              <w:spacing w:after="0" w:line="240" w:lineRule="auto"/>
              <w:rPr>
                <w:color w:val="000000"/>
              </w:rPr>
            </w:pPr>
            <w:r w:rsidRPr="00A850A0">
              <w:rPr>
                <w:color w:val="000000"/>
              </w:rPr>
              <w:t>.36</w:t>
            </w:r>
          </w:p>
        </w:tc>
        <w:tc>
          <w:tcPr>
            <w:tcW w:w="1160" w:type="dxa"/>
            <w:tcBorders>
              <w:top w:val="nil"/>
              <w:left w:val="nil"/>
              <w:bottom w:val="nil"/>
              <w:right w:val="nil"/>
            </w:tcBorders>
            <w:shd w:val="clear" w:color="auto" w:fill="auto"/>
            <w:noWrap/>
            <w:vAlign w:val="bottom"/>
            <w:hideMark/>
          </w:tcPr>
          <w:p w14:paraId="6F285253" w14:textId="77777777" w:rsidR="00B415D9" w:rsidRPr="00A850A0" w:rsidRDefault="00B415D9" w:rsidP="00F866EA">
            <w:pPr>
              <w:spacing w:after="0" w:line="240" w:lineRule="auto"/>
              <w:rPr>
                <w:color w:val="000000"/>
              </w:rPr>
            </w:pPr>
            <w:r w:rsidRPr="00A850A0">
              <w:rPr>
                <w:color w:val="000000"/>
              </w:rPr>
              <w:t>.11</w:t>
            </w:r>
          </w:p>
        </w:tc>
        <w:tc>
          <w:tcPr>
            <w:tcW w:w="1160" w:type="dxa"/>
            <w:tcBorders>
              <w:top w:val="nil"/>
              <w:left w:val="nil"/>
              <w:bottom w:val="nil"/>
              <w:right w:val="nil"/>
            </w:tcBorders>
            <w:shd w:val="clear" w:color="auto" w:fill="auto"/>
            <w:noWrap/>
            <w:vAlign w:val="bottom"/>
            <w:hideMark/>
          </w:tcPr>
          <w:p w14:paraId="78EB2F43" w14:textId="77777777" w:rsidR="00B415D9" w:rsidRPr="00A850A0" w:rsidRDefault="00B415D9" w:rsidP="00F866EA">
            <w:pPr>
              <w:spacing w:after="0" w:line="240" w:lineRule="auto"/>
              <w:rPr>
                <w:color w:val="000000"/>
              </w:rPr>
            </w:pPr>
            <w:r w:rsidRPr="00A850A0">
              <w:rPr>
                <w:color w:val="000000"/>
              </w:rPr>
              <w:t>.05</w:t>
            </w:r>
          </w:p>
        </w:tc>
        <w:tc>
          <w:tcPr>
            <w:tcW w:w="1163" w:type="dxa"/>
            <w:tcBorders>
              <w:top w:val="nil"/>
              <w:left w:val="nil"/>
              <w:bottom w:val="nil"/>
              <w:right w:val="nil"/>
            </w:tcBorders>
            <w:shd w:val="clear" w:color="auto" w:fill="auto"/>
            <w:noWrap/>
            <w:vAlign w:val="bottom"/>
            <w:hideMark/>
          </w:tcPr>
          <w:p w14:paraId="718119F1" w14:textId="77777777" w:rsidR="00B415D9" w:rsidRPr="00A850A0" w:rsidRDefault="00B415D9" w:rsidP="00F866EA">
            <w:pPr>
              <w:spacing w:after="0" w:line="240" w:lineRule="auto"/>
              <w:rPr>
                <w:color w:val="000000"/>
              </w:rPr>
            </w:pPr>
            <w:r w:rsidRPr="00A850A0">
              <w:rPr>
                <w:color w:val="000000"/>
              </w:rPr>
              <w:t>.13</w:t>
            </w:r>
          </w:p>
        </w:tc>
      </w:tr>
      <w:tr w:rsidR="00B415D9" w:rsidRPr="00A850A0" w14:paraId="334EE475" w14:textId="77777777" w:rsidTr="00F866EA">
        <w:trPr>
          <w:trHeight w:val="299"/>
        </w:trPr>
        <w:tc>
          <w:tcPr>
            <w:tcW w:w="1959" w:type="dxa"/>
            <w:tcBorders>
              <w:top w:val="nil"/>
              <w:left w:val="nil"/>
              <w:bottom w:val="single" w:sz="4" w:space="0" w:color="auto"/>
              <w:right w:val="nil"/>
            </w:tcBorders>
            <w:shd w:val="clear" w:color="auto" w:fill="auto"/>
            <w:noWrap/>
            <w:vAlign w:val="bottom"/>
            <w:hideMark/>
          </w:tcPr>
          <w:p w14:paraId="5B886334" w14:textId="77777777" w:rsidR="00B415D9" w:rsidRPr="00A850A0" w:rsidRDefault="00B415D9" w:rsidP="00F866EA">
            <w:pPr>
              <w:spacing w:after="0" w:line="240" w:lineRule="auto"/>
              <w:jc w:val="left"/>
              <w:rPr>
                <w:color w:val="000000"/>
              </w:rPr>
            </w:pPr>
            <w:r w:rsidRPr="00A850A0">
              <w:rPr>
                <w:color w:val="000000"/>
              </w:rPr>
              <w:t>Indonesia</w:t>
            </w:r>
          </w:p>
        </w:tc>
        <w:tc>
          <w:tcPr>
            <w:tcW w:w="1160" w:type="dxa"/>
            <w:tcBorders>
              <w:top w:val="nil"/>
              <w:left w:val="nil"/>
              <w:bottom w:val="single" w:sz="4" w:space="0" w:color="auto"/>
              <w:right w:val="nil"/>
            </w:tcBorders>
            <w:shd w:val="clear" w:color="auto" w:fill="auto"/>
            <w:noWrap/>
            <w:vAlign w:val="bottom"/>
            <w:hideMark/>
          </w:tcPr>
          <w:p w14:paraId="1A52A759" w14:textId="77777777" w:rsidR="00B415D9" w:rsidRPr="00A850A0" w:rsidRDefault="00B415D9" w:rsidP="00F866EA">
            <w:pPr>
              <w:spacing w:after="0" w:line="240" w:lineRule="auto"/>
              <w:rPr>
                <w:color w:val="000000"/>
              </w:rPr>
            </w:pPr>
            <w:r w:rsidRPr="00A850A0">
              <w:rPr>
                <w:color w:val="000000"/>
              </w:rPr>
              <w:t>.31</w:t>
            </w:r>
          </w:p>
        </w:tc>
        <w:tc>
          <w:tcPr>
            <w:tcW w:w="1160" w:type="dxa"/>
            <w:tcBorders>
              <w:top w:val="nil"/>
              <w:left w:val="nil"/>
              <w:bottom w:val="single" w:sz="4" w:space="0" w:color="auto"/>
              <w:right w:val="nil"/>
            </w:tcBorders>
            <w:shd w:val="clear" w:color="auto" w:fill="auto"/>
            <w:noWrap/>
            <w:vAlign w:val="bottom"/>
            <w:hideMark/>
          </w:tcPr>
          <w:p w14:paraId="6FEABE05" w14:textId="77777777" w:rsidR="00B415D9" w:rsidRPr="00A850A0" w:rsidRDefault="00B415D9" w:rsidP="00F866EA">
            <w:pPr>
              <w:spacing w:after="0" w:line="240" w:lineRule="auto"/>
              <w:rPr>
                <w:color w:val="000000"/>
              </w:rPr>
            </w:pPr>
            <w:r w:rsidRPr="00A850A0">
              <w:rPr>
                <w:color w:val="000000"/>
              </w:rPr>
              <w:t>.06</w:t>
            </w:r>
          </w:p>
        </w:tc>
        <w:tc>
          <w:tcPr>
            <w:tcW w:w="1160" w:type="dxa"/>
            <w:tcBorders>
              <w:top w:val="nil"/>
              <w:left w:val="nil"/>
              <w:bottom w:val="single" w:sz="4" w:space="0" w:color="auto"/>
              <w:right w:val="nil"/>
            </w:tcBorders>
            <w:shd w:val="clear" w:color="auto" w:fill="auto"/>
            <w:noWrap/>
            <w:vAlign w:val="bottom"/>
            <w:hideMark/>
          </w:tcPr>
          <w:p w14:paraId="1B88CAF7" w14:textId="77777777" w:rsidR="00B415D9" w:rsidRPr="00A850A0" w:rsidRDefault="00B415D9" w:rsidP="00F866EA">
            <w:pPr>
              <w:spacing w:after="0" w:line="240" w:lineRule="auto"/>
              <w:rPr>
                <w:color w:val="000000"/>
              </w:rPr>
            </w:pPr>
            <w:r w:rsidRPr="00A850A0">
              <w:rPr>
                <w:color w:val="000000"/>
              </w:rPr>
              <w:t>.03</w:t>
            </w:r>
          </w:p>
        </w:tc>
        <w:tc>
          <w:tcPr>
            <w:tcW w:w="1163" w:type="dxa"/>
            <w:tcBorders>
              <w:top w:val="nil"/>
              <w:left w:val="nil"/>
              <w:bottom w:val="single" w:sz="4" w:space="0" w:color="auto"/>
              <w:right w:val="nil"/>
            </w:tcBorders>
            <w:shd w:val="clear" w:color="auto" w:fill="auto"/>
            <w:noWrap/>
            <w:vAlign w:val="bottom"/>
            <w:hideMark/>
          </w:tcPr>
          <w:p w14:paraId="69DF3707" w14:textId="77777777" w:rsidR="00B415D9" w:rsidRPr="00A850A0" w:rsidRDefault="00B415D9" w:rsidP="00F866EA">
            <w:pPr>
              <w:spacing w:after="0" w:line="240" w:lineRule="auto"/>
              <w:rPr>
                <w:color w:val="000000"/>
              </w:rPr>
            </w:pPr>
            <w:r w:rsidRPr="00A850A0">
              <w:rPr>
                <w:color w:val="000000"/>
              </w:rPr>
              <w:t>.09</w:t>
            </w:r>
          </w:p>
        </w:tc>
      </w:tr>
      <w:tr w:rsidR="00B415D9" w:rsidRPr="00A850A0" w14:paraId="327C118E" w14:textId="77777777" w:rsidTr="00F866EA">
        <w:trPr>
          <w:trHeight w:val="299"/>
        </w:trPr>
        <w:tc>
          <w:tcPr>
            <w:tcW w:w="1959" w:type="dxa"/>
            <w:tcBorders>
              <w:top w:val="single" w:sz="4" w:space="0" w:color="auto"/>
              <w:left w:val="nil"/>
              <w:bottom w:val="single" w:sz="4" w:space="0" w:color="auto"/>
              <w:right w:val="nil"/>
            </w:tcBorders>
            <w:shd w:val="clear" w:color="auto" w:fill="auto"/>
            <w:noWrap/>
            <w:vAlign w:val="bottom"/>
            <w:hideMark/>
          </w:tcPr>
          <w:p w14:paraId="749F18F8" w14:textId="77777777" w:rsidR="00B415D9" w:rsidRPr="00A850A0" w:rsidRDefault="00B415D9" w:rsidP="00F866EA">
            <w:pPr>
              <w:spacing w:after="0" w:line="240" w:lineRule="auto"/>
              <w:jc w:val="left"/>
              <w:rPr>
                <w:b/>
                <w:bCs/>
                <w:color w:val="000000"/>
              </w:rPr>
            </w:pPr>
            <w:r w:rsidRPr="00A850A0">
              <w:rPr>
                <w:b/>
                <w:bCs/>
                <w:color w:val="000000"/>
              </w:rPr>
              <w:t>Average</w:t>
            </w:r>
          </w:p>
        </w:tc>
        <w:tc>
          <w:tcPr>
            <w:tcW w:w="1160" w:type="dxa"/>
            <w:tcBorders>
              <w:top w:val="single" w:sz="4" w:space="0" w:color="auto"/>
              <w:left w:val="nil"/>
              <w:bottom w:val="single" w:sz="4" w:space="0" w:color="auto"/>
              <w:right w:val="nil"/>
            </w:tcBorders>
            <w:shd w:val="clear" w:color="auto" w:fill="auto"/>
            <w:noWrap/>
            <w:vAlign w:val="bottom"/>
            <w:hideMark/>
          </w:tcPr>
          <w:p w14:paraId="168DD257" w14:textId="77777777" w:rsidR="00B415D9" w:rsidRPr="00A850A0" w:rsidRDefault="00B415D9" w:rsidP="00F866EA">
            <w:pPr>
              <w:spacing w:after="0" w:line="240" w:lineRule="auto"/>
              <w:rPr>
                <w:b/>
                <w:bCs/>
                <w:color w:val="000000"/>
              </w:rPr>
            </w:pPr>
            <w:r w:rsidRPr="00A850A0">
              <w:rPr>
                <w:b/>
                <w:bCs/>
                <w:color w:val="000000"/>
              </w:rPr>
              <w:t>.79</w:t>
            </w:r>
          </w:p>
        </w:tc>
        <w:tc>
          <w:tcPr>
            <w:tcW w:w="1160" w:type="dxa"/>
            <w:tcBorders>
              <w:top w:val="single" w:sz="4" w:space="0" w:color="auto"/>
              <w:left w:val="nil"/>
              <w:bottom w:val="single" w:sz="4" w:space="0" w:color="auto"/>
              <w:right w:val="nil"/>
            </w:tcBorders>
            <w:shd w:val="clear" w:color="auto" w:fill="auto"/>
            <w:noWrap/>
            <w:vAlign w:val="bottom"/>
            <w:hideMark/>
          </w:tcPr>
          <w:p w14:paraId="59CB0AFA" w14:textId="77777777" w:rsidR="00B415D9" w:rsidRPr="00A850A0" w:rsidRDefault="00B415D9" w:rsidP="00F866EA">
            <w:pPr>
              <w:spacing w:after="0" w:line="240" w:lineRule="auto"/>
              <w:rPr>
                <w:b/>
                <w:bCs/>
                <w:color w:val="000000"/>
              </w:rPr>
            </w:pPr>
            <w:r w:rsidRPr="00A850A0">
              <w:rPr>
                <w:b/>
                <w:bCs/>
                <w:color w:val="000000"/>
              </w:rPr>
              <w:t>.31</w:t>
            </w:r>
          </w:p>
        </w:tc>
        <w:tc>
          <w:tcPr>
            <w:tcW w:w="1160" w:type="dxa"/>
            <w:tcBorders>
              <w:top w:val="single" w:sz="4" w:space="0" w:color="auto"/>
              <w:left w:val="nil"/>
              <w:bottom w:val="single" w:sz="4" w:space="0" w:color="auto"/>
              <w:right w:val="nil"/>
            </w:tcBorders>
            <w:shd w:val="clear" w:color="auto" w:fill="auto"/>
            <w:noWrap/>
            <w:vAlign w:val="bottom"/>
            <w:hideMark/>
          </w:tcPr>
          <w:p w14:paraId="5D70FB93" w14:textId="77777777" w:rsidR="00B415D9" w:rsidRPr="00A850A0" w:rsidRDefault="00B415D9" w:rsidP="00F866EA">
            <w:pPr>
              <w:spacing w:after="0" w:line="240" w:lineRule="auto"/>
              <w:rPr>
                <w:b/>
                <w:bCs/>
                <w:color w:val="000000"/>
              </w:rPr>
            </w:pPr>
            <w:r w:rsidRPr="00A850A0">
              <w:rPr>
                <w:b/>
                <w:bCs/>
                <w:color w:val="000000"/>
              </w:rPr>
              <w:t>.04</w:t>
            </w:r>
          </w:p>
        </w:tc>
        <w:tc>
          <w:tcPr>
            <w:tcW w:w="1163" w:type="dxa"/>
            <w:tcBorders>
              <w:top w:val="single" w:sz="4" w:space="0" w:color="auto"/>
              <w:left w:val="nil"/>
              <w:bottom w:val="single" w:sz="4" w:space="0" w:color="auto"/>
              <w:right w:val="nil"/>
            </w:tcBorders>
            <w:shd w:val="clear" w:color="auto" w:fill="auto"/>
            <w:noWrap/>
            <w:vAlign w:val="bottom"/>
            <w:hideMark/>
          </w:tcPr>
          <w:p w14:paraId="52701FAD" w14:textId="77777777" w:rsidR="00B415D9" w:rsidRPr="00A850A0" w:rsidRDefault="00B415D9" w:rsidP="00F866EA">
            <w:pPr>
              <w:spacing w:after="0" w:line="240" w:lineRule="auto"/>
              <w:rPr>
                <w:b/>
                <w:bCs/>
                <w:color w:val="000000"/>
              </w:rPr>
            </w:pPr>
            <w:r w:rsidRPr="00A850A0">
              <w:rPr>
                <w:b/>
                <w:bCs/>
                <w:color w:val="000000"/>
              </w:rPr>
              <w:t>.64</w:t>
            </w:r>
          </w:p>
        </w:tc>
      </w:tr>
      <w:tr w:rsidR="00B415D9" w:rsidRPr="00A850A0" w14:paraId="71908694" w14:textId="77777777" w:rsidTr="00F866EA">
        <w:trPr>
          <w:trHeight w:val="299"/>
        </w:trPr>
        <w:tc>
          <w:tcPr>
            <w:tcW w:w="6602" w:type="dxa"/>
            <w:gridSpan w:val="5"/>
            <w:tcBorders>
              <w:top w:val="single" w:sz="4" w:space="0" w:color="auto"/>
              <w:left w:val="nil"/>
              <w:bottom w:val="nil"/>
              <w:right w:val="nil"/>
            </w:tcBorders>
            <w:shd w:val="clear" w:color="auto" w:fill="auto"/>
            <w:noWrap/>
            <w:vAlign w:val="bottom"/>
          </w:tcPr>
          <w:p w14:paraId="5CBA4907" w14:textId="77777777" w:rsidR="00B415D9" w:rsidRPr="00A850A0" w:rsidRDefault="00B415D9" w:rsidP="00F866EA">
            <w:pPr>
              <w:spacing w:after="0" w:line="240" w:lineRule="auto"/>
              <w:jc w:val="left"/>
              <w:rPr>
                <w:color w:val="000000"/>
              </w:rPr>
            </w:pPr>
            <w:r w:rsidRPr="00A850A0">
              <w:rPr>
                <w:i/>
                <w:iCs/>
                <w:color w:val="000000"/>
              </w:rPr>
              <w:t xml:space="preserve">Note. </w:t>
            </w:r>
            <w:r w:rsidRPr="00A850A0">
              <w:rPr>
                <w:color w:val="000000"/>
              </w:rPr>
              <w:t xml:space="preserve">Countries are listed from highest to lowest </w:t>
            </w:r>
            <w:r w:rsidRPr="00A850A0">
              <w:rPr>
                <w:i/>
                <w:iCs/>
              </w:rPr>
              <w:t>β</w:t>
            </w:r>
          </w:p>
        </w:tc>
      </w:tr>
    </w:tbl>
    <w:p w14:paraId="042A24D2" w14:textId="77777777" w:rsidR="00B415D9" w:rsidRPr="000B727E" w:rsidRDefault="00B415D9" w:rsidP="009061F6">
      <w:pPr>
        <w:spacing w:after="0"/>
        <w:ind w:firstLine="720"/>
        <w:jc w:val="left"/>
      </w:pPr>
    </w:p>
    <w:p w14:paraId="7FCB3447" w14:textId="1FF6718C" w:rsidR="001B4394" w:rsidRDefault="001B4394" w:rsidP="009061F6">
      <w:pPr>
        <w:pStyle w:val="Heading3"/>
      </w:pPr>
      <w:r>
        <w:t>Country</w:t>
      </w:r>
      <w:r w:rsidR="00433092">
        <w:t>-</w:t>
      </w:r>
      <w:r>
        <w:t xml:space="preserve">Level Analyses </w:t>
      </w:r>
    </w:p>
    <w:p w14:paraId="355B6360" w14:textId="39911942" w:rsidR="001702FA" w:rsidRPr="00693030" w:rsidRDefault="00693030" w:rsidP="009061F6">
      <w:pPr>
        <w:spacing w:after="0"/>
        <w:jc w:val="left"/>
      </w:pPr>
      <w:r>
        <w:rPr>
          <w:b/>
          <w:bCs/>
        </w:rPr>
        <w:tab/>
      </w:r>
      <w:r>
        <w:t>The second set of analyses were conducted on the country level, using the results presented previously as the input data</w:t>
      </w:r>
      <w:r w:rsidR="00986FF3">
        <w:t xml:space="preserve"> (Tables 2, 3 &amp; 5) as well as country</w:t>
      </w:r>
      <w:r w:rsidR="00433092">
        <w:t>-</w:t>
      </w:r>
      <w:r w:rsidR="00986FF3">
        <w:t>level data acquired from sources independent from this study (see Supplementary Materials for the</w:t>
      </w:r>
      <w:r w:rsidR="00421B59">
        <w:t>se</w:t>
      </w:r>
      <w:r w:rsidR="00986FF3">
        <w:t xml:space="preserve"> </w:t>
      </w:r>
      <w:r w:rsidR="00421B59">
        <w:t>country level scores)</w:t>
      </w:r>
      <w:r>
        <w:t xml:space="preserve">. </w:t>
      </w:r>
      <w:r w:rsidR="00CF53FA">
        <w:t xml:space="preserve">These country level analyses were conducted to help interpret the results previously </w:t>
      </w:r>
      <w:r w:rsidR="00CF53FA">
        <w:lastRenderedPageBreak/>
        <w:t xml:space="preserve">discussed by attempting to find patterns in the results. </w:t>
      </w:r>
      <w:r w:rsidR="00332415">
        <w:t xml:space="preserve">This procedure is similar to Multilevel Modeling (MLM) that tests for </w:t>
      </w:r>
      <w:r w:rsidR="00BE31A1">
        <w:t>group</w:t>
      </w:r>
      <w:r w:rsidR="00332415">
        <w:t xml:space="preserve"> </w:t>
      </w:r>
      <w:r w:rsidR="00BE31A1">
        <w:t xml:space="preserve">(Level 2) </w:t>
      </w:r>
      <w:r w:rsidR="00332415">
        <w:t xml:space="preserve">predictors of </w:t>
      </w:r>
      <w:r w:rsidR="00BE31A1">
        <w:t xml:space="preserve">individual (Level 1) </w:t>
      </w:r>
      <w:r w:rsidR="00332415">
        <w:t xml:space="preserve">relationships. However, </w:t>
      </w:r>
      <w:r w:rsidR="00BE31A1">
        <w:t xml:space="preserve">given that many </w:t>
      </w:r>
      <w:r w:rsidR="001E6774">
        <w:t xml:space="preserve">of the relationships involve summaries of individuals within countries (e.g., reliability of a measure) rather than individual scores, we </w:t>
      </w:r>
      <w:r w:rsidR="009061F6">
        <w:t>could</w:t>
      </w:r>
      <w:r w:rsidR="001E6774">
        <w:t xml:space="preserve"> not use the MLM framework for analyses. Fortunately, the large number of countries </w:t>
      </w:r>
      <w:r w:rsidR="00BB48B2">
        <w:t>presented here allow</w:t>
      </w:r>
      <w:r w:rsidR="00066304">
        <w:t xml:space="preserve"> for correlations to be conducted on the group level, with a total sample size rangin</w:t>
      </w:r>
      <w:r w:rsidR="00C43EA0">
        <w:t xml:space="preserve">g </w:t>
      </w:r>
      <w:r w:rsidR="00066304">
        <w:t xml:space="preserve">from </w:t>
      </w:r>
      <w:r w:rsidR="00C43EA0">
        <w:t>45 to</w:t>
      </w:r>
      <w:r w:rsidR="00066304">
        <w:t xml:space="preserve"> 63 (countries). </w:t>
      </w:r>
    </w:p>
    <w:p w14:paraId="61E2ECA8" w14:textId="11C8BDE6" w:rsidR="00566A85" w:rsidRDefault="00341476" w:rsidP="00C66D5C">
      <w:pPr>
        <w:spacing w:after="0"/>
        <w:jc w:val="left"/>
        <w:rPr>
          <w:b/>
          <w:bCs/>
          <w:i/>
          <w:iCs/>
        </w:rPr>
      </w:pPr>
      <w:r>
        <w:rPr>
          <w:b/>
          <w:bCs/>
          <w:i/>
          <w:iCs/>
        </w:rPr>
        <w:t>Relationship Between Happiness Measure Reliabilities</w:t>
      </w:r>
    </w:p>
    <w:p w14:paraId="07EDE88B" w14:textId="16C0558E" w:rsidR="00772F28" w:rsidRDefault="009061F6" w:rsidP="00C66D5C">
      <w:pPr>
        <w:spacing w:after="0"/>
        <w:jc w:val="left"/>
      </w:pPr>
      <w:r>
        <w:tab/>
        <w:t xml:space="preserve">The previous tests of reliability for the happiness measures resulted in multiple scores of internal </w:t>
      </w:r>
      <w:proofErr w:type="gramStart"/>
      <w:r>
        <w:t>consistency</w:t>
      </w:r>
      <w:proofErr w:type="gramEnd"/>
      <w:r>
        <w:t xml:space="preserve"> for each country</w:t>
      </w:r>
      <w:r w:rsidR="007C3262">
        <w:t xml:space="preserve"> and for each measure. </w:t>
      </w:r>
      <w:r w:rsidR="00B5141A">
        <w:t>W</w:t>
      </w:r>
      <w:r w:rsidR="00772F28">
        <w:t xml:space="preserve">e were interested </w:t>
      </w:r>
      <w:r w:rsidR="0032018E">
        <w:t xml:space="preserve">to see </w:t>
      </w:r>
      <w:r w:rsidR="00772F28">
        <w:t xml:space="preserve">if the same countries with good reliabilities for one happiness measure also produced good reliabilities for the other happiness measure. </w:t>
      </w:r>
      <w:r w:rsidR="00D70D79">
        <w:t>Correlations between the happiness measure reliabilities across countries were conducted for the general factor saturation, total common variance, smallest split</w:t>
      </w:r>
      <w:r w:rsidR="00433092">
        <w:t>-</w:t>
      </w:r>
      <w:r w:rsidR="00D70D79">
        <w:t xml:space="preserve">half reliability, and average communality scores for the items </w:t>
      </w:r>
      <w:r w:rsidR="00772F28">
        <w:t xml:space="preserve">(see Table </w:t>
      </w:r>
      <w:r w:rsidR="00C779DE">
        <w:t>8</w:t>
      </w:r>
      <w:r w:rsidR="00772F28">
        <w:t>)</w:t>
      </w:r>
      <w:r w:rsidR="00D70D79">
        <w:t xml:space="preserve">. There was a significant positive correlation between the two happiness measures </w:t>
      </w:r>
      <w:r w:rsidR="00FE0092">
        <w:t xml:space="preserve">for the total common variance </w:t>
      </w:r>
      <w:r w:rsidR="00FE0092" w:rsidRPr="00601241">
        <w:rPr>
          <w:i/>
          <w:iCs/>
        </w:rPr>
        <w:t>r</w:t>
      </w:r>
      <w:r w:rsidR="00FE0092">
        <w:t xml:space="preserve">(61) = .34, </w:t>
      </w:r>
      <w:r w:rsidR="00601241" w:rsidRPr="00601241">
        <w:rPr>
          <w:i/>
          <w:iCs/>
        </w:rPr>
        <w:t>p</w:t>
      </w:r>
      <w:r w:rsidR="00601241">
        <w:t xml:space="preserve"> = .006, </w:t>
      </w:r>
      <w:r w:rsidR="00FE0092">
        <w:t xml:space="preserve">smallest split half reliability </w:t>
      </w:r>
      <w:r w:rsidR="00FE0092" w:rsidRPr="00601241">
        <w:rPr>
          <w:i/>
          <w:iCs/>
        </w:rPr>
        <w:t>r</w:t>
      </w:r>
      <w:r w:rsidR="00FE0092">
        <w:t xml:space="preserve">(61) = .38, </w:t>
      </w:r>
      <w:r w:rsidR="00601241" w:rsidRPr="00601241">
        <w:rPr>
          <w:i/>
          <w:iCs/>
        </w:rPr>
        <w:t>p</w:t>
      </w:r>
      <w:r w:rsidR="00601241">
        <w:t xml:space="preserve"> = .002, </w:t>
      </w:r>
      <w:r w:rsidR="00FE0092">
        <w:t xml:space="preserve">and the average communality scores </w:t>
      </w:r>
      <w:r w:rsidR="00FE0092" w:rsidRPr="00601241">
        <w:rPr>
          <w:i/>
          <w:iCs/>
        </w:rPr>
        <w:t>r</w:t>
      </w:r>
      <w:r w:rsidR="00FE0092">
        <w:t xml:space="preserve">(61) = .27, </w:t>
      </w:r>
      <w:r w:rsidR="00601241" w:rsidRPr="00601241">
        <w:rPr>
          <w:i/>
          <w:iCs/>
        </w:rPr>
        <w:t>p</w:t>
      </w:r>
      <w:r w:rsidR="00601241">
        <w:t xml:space="preserve"> = .03, </w:t>
      </w:r>
      <w:r w:rsidR="00FE0092">
        <w:t>but not for the general factor saturation</w:t>
      </w:r>
      <w:r w:rsidR="00601241">
        <w:t xml:space="preserve"> </w:t>
      </w:r>
      <w:r w:rsidR="00601241" w:rsidRPr="00601241">
        <w:rPr>
          <w:i/>
          <w:iCs/>
        </w:rPr>
        <w:t>r</w:t>
      </w:r>
      <w:r w:rsidR="00601241">
        <w:t xml:space="preserve">(61) = -.03, </w:t>
      </w:r>
      <w:r w:rsidR="00601241" w:rsidRPr="00601241">
        <w:rPr>
          <w:i/>
          <w:iCs/>
        </w:rPr>
        <w:t>p</w:t>
      </w:r>
      <w:r w:rsidR="00601241">
        <w:t xml:space="preserve"> = .82. </w:t>
      </w:r>
    </w:p>
    <w:tbl>
      <w:tblPr>
        <w:tblW w:w="7800" w:type="dxa"/>
        <w:tblInd w:w="540" w:type="dxa"/>
        <w:tblLook w:val="04A0" w:firstRow="1" w:lastRow="0" w:firstColumn="1" w:lastColumn="0" w:noHBand="0" w:noVBand="1"/>
      </w:tblPr>
      <w:tblGrid>
        <w:gridCol w:w="764"/>
        <w:gridCol w:w="2037"/>
        <w:gridCol w:w="1302"/>
        <w:gridCol w:w="1230"/>
        <w:gridCol w:w="1230"/>
        <w:gridCol w:w="1237"/>
      </w:tblGrid>
      <w:tr w:rsidR="00B415D9" w:rsidRPr="00885DD2" w14:paraId="2E4C1822" w14:textId="77777777" w:rsidTr="00F866EA">
        <w:trPr>
          <w:trHeight w:val="349"/>
        </w:trPr>
        <w:tc>
          <w:tcPr>
            <w:tcW w:w="7800" w:type="dxa"/>
            <w:gridSpan w:val="6"/>
            <w:tcBorders>
              <w:top w:val="nil"/>
              <w:left w:val="nil"/>
              <w:bottom w:val="single" w:sz="4" w:space="0" w:color="auto"/>
              <w:right w:val="nil"/>
            </w:tcBorders>
            <w:shd w:val="clear" w:color="auto" w:fill="auto"/>
            <w:noWrap/>
            <w:vAlign w:val="bottom"/>
          </w:tcPr>
          <w:p w14:paraId="547F2F72" w14:textId="07D1668E" w:rsidR="00B415D9" w:rsidRPr="00885DD2" w:rsidRDefault="00B415D9" w:rsidP="00F866EA">
            <w:pPr>
              <w:spacing w:after="0" w:line="240" w:lineRule="auto"/>
              <w:jc w:val="left"/>
              <w:rPr>
                <w:color w:val="000000"/>
              </w:rPr>
            </w:pPr>
            <w:r w:rsidRPr="00885DD2">
              <w:rPr>
                <w:color w:val="000000"/>
              </w:rPr>
              <w:t xml:space="preserve">Table </w:t>
            </w:r>
            <w:r w:rsidR="008C16B6">
              <w:rPr>
                <w:color w:val="000000"/>
              </w:rPr>
              <w:t>8</w:t>
            </w:r>
          </w:p>
        </w:tc>
      </w:tr>
      <w:tr w:rsidR="00B415D9" w:rsidRPr="00885DD2" w14:paraId="08FC16FC" w14:textId="77777777" w:rsidTr="00F866EA">
        <w:trPr>
          <w:trHeight w:val="349"/>
        </w:trPr>
        <w:tc>
          <w:tcPr>
            <w:tcW w:w="7800" w:type="dxa"/>
            <w:gridSpan w:val="6"/>
            <w:tcBorders>
              <w:top w:val="single" w:sz="4" w:space="0" w:color="auto"/>
              <w:left w:val="nil"/>
              <w:bottom w:val="single" w:sz="4" w:space="0" w:color="auto"/>
              <w:right w:val="nil"/>
            </w:tcBorders>
            <w:shd w:val="clear" w:color="auto" w:fill="auto"/>
            <w:noWrap/>
            <w:vAlign w:val="bottom"/>
          </w:tcPr>
          <w:p w14:paraId="3846A386" w14:textId="77777777" w:rsidR="00B415D9" w:rsidRPr="00D169D5" w:rsidRDefault="00B415D9" w:rsidP="00F866EA">
            <w:pPr>
              <w:spacing w:after="0" w:line="240" w:lineRule="auto"/>
              <w:jc w:val="left"/>
              <w:rPr>
                <w:i/>
                <w:iCs/>
                <w:color w:val="000000"/>
              </w:rPr>
            </w:pPr>
            <w:r w:rsidRPr="00D169D5">
              <w:rPr>
                <w:i/>
                <w:iCs/>
                <w:color w:val="000000"/>
              </w:rPr>
              <w:t>Correlation between happiness measure reliabilities across countries</w:t>
            </w:r>
          </w:p>
        </w:tc>
      </w:tr>
      <w:tr w:rsidR="00B415D9" w:rsidRPr="009938C6" w14:paraId="4E843DB2" w14:textId="77777777" w:rsidTr="00F866EA">
        <w:trPr>
          <w:trHeight w:val="391"/>
        </w:trPr>
        <w:tc>
          <w:tcPr>
            <w:tcW w:w="764" w:type="dxa"/>
            <w:tcBorders>
              <w:top w:val="single" w:sz="4" w:space="0" w:color="auto"/>
              <w:left w:val="nil"/>
              <w:bottom w:val="single" w:sz="4" w:space="0" w:color="auto"/>
              <w:right w:val="nil"/>
            </w:tcBorders>
            <w:shd w:val="clear" w:color="auto" w:fill="auto"/>
            <w:noWrap/>
            <w:vAlign w:val="bottom"/>
            <w:hideMark/>
          </w:tcPr>
          <w:p w14:paraId="4A0A8A14" w14:textId="77777777" w:rsidR="00B415D9" w:rsidRPr="009938C6" w:rsidRDefault="00B415D9" w:rsidP="00F866EA">
            <w:pPr>
              <w:spacing w:after="0" w:line="240" w:lineRule="auto"/>
              <w:jc w:val="left"/>
            </w:pPr>
          </w:p>
        </w:tc>
        <w:tc>
          <w:tcPr>
            <w:tcW w:w="2037" w:type="dxa"/>
            <w:tcBorders>
              <w:top w:val="single" w:sz="4" w:space="0" w:color="auto"/>
              <w:left w:val="nil"/>
              <w:bottom w:val="single" w:sz="4" w:space="0" w:color="auto"/>
              <w:right w:val="nil"/>
            </w:tcBorders>
            <w:shd w:val="clear" w:color="auto" w:fill="auto"/>
            <w:noWrap/>
            <w:vAlign w:val="bottom"/>
            <w:hideMark/>
          </w:tcPr>
          <w:p w14:paraId="115FF484" w14:textId="77777777" w:rsidR="00B415D9" w:rsidRPr="009938C6" w:rsidRDefault="00B415D9" w:rsidP="00F866EA">
            <w:pPr>
              <w:spacing w:after="0" w:line="240" w:lineRule="auto"/>
              <w:jc w:val="left"/>
            </w:pPr>
          </w:p>
        </w:tc>
        <w:tc>
          <w:tcPr>
            <w:tcW w:w="4999" w:type="dxa"/>
            <w:gridSpan w:val="4"/>
            <w:tcBorders>
              <w:top w:val="single" w:sz="4" w:space="0" w:color="auto"/>
              <w:left w:val="nil"/>
              <w:bottom w:val="single" w:sz="4" w:space="0" w:color="auto"/>
              <w:right w:val="nil"/>
            </w:tcBorders>
            <w:shd w:val="clear" w:color="auto" w:fill="auto"/>
            <w:noWrap/>
            <w:vAlign w:val="center"/>
            <w:hideMark/>
          </w:tcPr>
          <w:p w14:paraId="293417DD" w14:textId="77777777" w:rsidR="00B415D9" w:rsidRPr="009938C6" w:rsidRDefault="00B415D9" w:rsidP="00F866EA">
            <w:pPr>
              <w:spacing w:after="0" w:line="240" w:lineRule="auto"/>
              <w:rPr>
                <w:color w:val="000000"/>
              </w:rPr>
            </w:pPr>
            <w:r w:rsidRPr="009938C6">
              <w:rPr>
                <w:color w:val="000000"/>
              </w:rPr>
              <w:t>SHS</w:t>
            </w:r>
          </w:p>
        </w:tc>
      </w:tr>
      <w:tr w:rsidR="00B415D9" w:rsidRPr="009938C6" w14:paraId="03C0313F" w14:textId="77777777" w:rsidTr="00F866EA">
        <w:trPr>
          <w:trHeight w:val="432"/>
        </w:trPr>
        <w:tc>
          <w:tcPr>
            <w:tcW w:w="764" w:type="dxa"/>
            <w:tcBorders>
              <w:top w:val="single" w:sz="4" w:space="0" w:color="auto"/>
              <w:left w:val="nil"/>
              <w:bottom w:val="single" w:sz="4" w:space="0" w:color="auto"/>
              <w:right w:val="nil"/>
            </w:tcBorders>
            <w:shd w:val="clear" w:color="auto" w:fill="auto"/>
            <w:noWrap/>
            <w:vAlign w:val="bottom"/>
            <w:hideMark/>
          </w:tcPr>
          <w:p w14:paraId="423FA949" w14:textId="77777777" w:rsidR="00B415D9" w:rsidRPr="009938C6" w:rsidRDefault="00B415D9" w:rsidP="00F866EA">
            <w:pPr>
              <w:spacing w:after="0" w:line="240" w:lineRule="auto"/>
              <w:rPr>
                <w:color w:val="000000"/>
              </w:rPr>
            </w:pPr>
          </w:p>
        </w:tc>
        <w:tc>
          <w:tcPr>
            <w:tcW w:w="2037" w:type="dxa"/>
            <w:tcBorders>
              <w:top w:val="nil"/>
              <w:left w:val="nil"/>
              <w:bottom w:val="single" w:sz="4" w:space="0" w:color="auto"/>
              <w:right w:val="nil"/>
            </w:tcBorders>
            <w:shd w:val="clear" w:color="auto" w:fill="auto"/>
            <w:noWrap/>
            <w:vAlign w:val="bottom"/>
            <w:hideMark/>
          </w:tcPr>
          <w:p w14:paraId="1F4E2446" w14:textId="77777777" w:rsidR="00B415D9" w:rsidRPr="009938C6" w:rsidRDefault="00B415D9" w:rsidP="00F866EA">
            <w:pPr>
              <w:spacing w:after="0" w:line="240" w:lineRule="auto"/>
              <w:jc w:val="left"/>
            </w:pPr>
          </w:p>
        </w:tc>
        <w:tc>
          <w:tcPr>
            <w:tcW w:w="1302" w:type="dxa"/>
            <w:tcBorders>
              <w:top w:val="single" w:sz="4" w:space="0" w:color="auto"/>
              <w:left w:val="nil"/>
              <w:bottom w:val="single" w:sz="4" w:space="0" w:color="auto"/>
              <w:right w:val="nil"/>
            </w:tcBorders>
            <w:shd w:val="clear" w:color="auto" w:fill="auto"/>
            <w:noWrap/>
            <w:vAlign w:val="center"/>
            <w:hideMark/>
          </w:tcPr>
          <w:p w14:paraId="13D2413D" w14:textId="77777777" w:rsidR="00B415D9" w:rsidRPr="009938C6" w:rsidRDefault="00B415D9" w:rsidP="00F866EA">
            <w:pPr>
              <w:spacing w:after="0" w:line="240" w:lineRule="auto"/>
              <w:rPr>
                <w:i/>
                <w:iCs/>
                <w:color w:val="000000"/>
              </w:rPr>
            </w:pPr>
            <w:r w:rsidRPr="009938C6">
              <w:rPr>
                <w:i/>
                <w:iCs/>
                <w:color w:val="000000"/>
              </w:rPr>
              <w:t>ω</w:t>
            </w:r>
            <w:r w:rsidRPr="009938C6">
              <w:rPr>
                <w:i/>
                <w:iCs/>
                <w:color w:val="000000"/>
                <w:vertAlign w:val="subscript"/>
              </w:rPr>
              <w:t>h</w:t>
            </w:r>
          </w:p>
        </w:tc>
        <w:tc>
          <w:tcPr>
            <w:tcW w:w="1230" w:type="dxa"/>
            <w:tcBorders>
              <w:top w:val="single" w:sz="4" w:space="0" w:color="auto"/>
              <w:left w:val="nil"/>
              <w:bottom w:val="single" w:sz="4" w:space="0" w:color="auto"/>
              <w:right w:val="nil"/>
            </w:tcBorders>
            <w:shd w:val="clear" w:color="auto" w:fill="auto"/>
            <w:noWrap/>
            <w:vAlign w:val="center"/>
            <w:hideMark/>
          </w:tcPr>
          <w:p w14:paraId="041D704B" w14:textId="77777777" w:rsidR="00B415D9" w:rsidRPr="009938C6" w:rsidRDefault="00B415D9" w:rsidP="00F866EA">
            <w:pPr>
              <w:spacing w:after="0" w:line="240" w:lineRule="auto"/>
              <w:rPr>
                <w:i/>
                <w:iCs/>
                <w:color w:val="000000"/>
              </w:rPr>
            </w:pPr>
            <w:r w:rsidRPr="009938C6">
              <w:rPr>
                <w:i/>
                <w:iCs/>
                <w:color w:val="000000"/>
              </w:rPr>
              <w:t>ω</w:t>
            </w:r>
            <w:r w:rsidRPr="009938C6">
              <w:rPr>
                <w:i/>
                <w:iCs/>
                <w:color w:val="000000"/>
                <w:vertAlign w:val="subscript"/>
              </w:rPr>
              <w:t>t</w:t>
            </w:r>
          </w:p>
        </w:tc>
        <w:tc>
          <w:tcPr>
            <w:tcW w:w="1230" w:type="dxa"/>
            <w:tcBorders>
              <w:top w:val="single" w:sz="4" w:space="0" w:color="auto"/>
              <w:left w:val="nil"/>
              <w:bottom w:val="single" w:sz="4" w:space="0" w:color="auto"/>
              <w:right w:val="nil"/>
            </w:tcBorders>
            <w:shd w:val="clear" w:color="auto" w:fill="auto"/>
            <w:noWrap/>
            <w:vAlign w:val="center"/>
            <w:hideMark/>
          </w:tcPr>
          <w:p w14:paraId="7869AA62" w14:textId="77777777" w:rsidR="00B415D9" w:rsidRPr="009938C6" w:rsidRDefault="00B415D9" w:rsidP="00F866EA">
            <w:pPr>
              <w:spacing w:after="0" w:line="240" w:lineRule="auto"/>
              <w:rPr>
                <w:i/>
                <w:iCs/>
                <w:color w:val="000000"/>
              </w:rPr>
            </w:pPr>
            <w:r w:rsidRPr="009938C6">
              <w:rPr>
                <w:i/>
                <w:iCs/>
                <w:color w:val="000000"/>
              </w:rPr>
              <w:t>β</w:t>
            </w:r>
          </w:p>
        </w:tc>
        <w:tc>
          <w:tcPr>
            <w:tcW w:w="1235" w:type="dxa"/>
            <w:tcBorders>
              <w:top w:val="single" w:sz="4" w:space="0" w:color="auto"/>
              <w:left w:val="nil"/>
              <w:bottom w:val="single" w:sz="4" w:space="0" w:color="auto"/>
              <w:right w:val="nil"/>
            </w:tcBorders>
            <w:shd w:val="clear" w:color="auto" w:fill="auto"/>
            <w:noWrap/>
            <w:vAlign w:val="center"/>
            <w:hideMark/>
          </w:tcPr>
          <w:p w14:paraId="08BA7A33" w14:textId="77777777" w:rsidR="00B415D9" w:rsidRPr="009938C6" w:rsidRDefault="001474EE" w:rsidP="00F866EA">
            <w:pPr>
              <w:spacing w:after="0" w:line="240" w:lineRule="auto"/>
              <w:rPr>
                <w:color w:val="000000"/>
              </w:rPr>
            </w:pPr>
            <m:oMath>
              <m:acc>
                <m:accPr>
                  <m:chr m:val="̅"/>
                  <m:ctrlPr>
                    <w:rPr>
                      <w:rFonts w:ascii="Cambria Math" w:hAnsi="Cambria Math"/>
                      <w:i/>
                      <w:iCs/>
                    </w:rPr>
                  </m:ctrlPr>
                </m:accPr>
                <m:e>
                  <m:r>
                    <w:rPr>
                      <w:rFonts w:ascii="Cambria Math" w:hAnsi="Cambria Math"/>
                    </w:rPr>
                    <m:t>h</m:t>
                  </m:r>
                </m:e>
              </m:acc>
            </m:oMath>
            <w:r w:rsidR="00B415D9" w:rsidRPr="00582CB8">
              <w:rPr>
                <w:vertAlign w:val="superscript"/>
              </w:rPr>
              <w:t>2</w:t>
            </w:r>
          </w:p>
          <w:p w14:paraId="74EEAF18" w14:textId="77777777" w:rsidR="00B415D9" w:rsidRPr="009938C6" w:rsidRDefault="00B415D9" w:rsidP="00F866EA">
            <w:pPr>
              <w:spacing w:after="0" w:line="240" w:lineRule="auto"/>
              <w:rPr>
                <w:color w:val="000000"/>
              </w:rPr>
            </w:pPr>
          </w:p>
        </w:tc>
      </w:tr>
      <w:tr w:rsidR="00B415D9" w:rsidRPr="009938C6" w14:paraId="0D08A03A" w14:textId="77777777" w:rsidTr="00F866EA">
        <w:trPr>
          <w:trHeight w:val="432"/>
        </w:trPr>
        <w:tc>
          <w:tcPr>
            <w:tcW w:w="764" w:type="dxa"/>
            <w:vMerge w:val="restart"/>
            <w:tcBorders>
              <w:top w:val="single" w:sz="4" w:space="0" w:color="auto"/>
              <w:left w:val="nil"/>
              <w:bottom w:val="single" w:sz="4" w:space="0" w:color="auto"/>
              <w:right w:val="nil"/>
            </w:tcBorders>
            <w:shd w:val="clear" w:color="auto" w:fill="auto"/>
            <w:noWrap/>
            <w:vAlign w:val="center"/>
            <w:hideMark/>
          </w:tcPr>
          <w:p w14:paraId="7F2DE55F" w14:textId="77777777" w:rsidR="00B415D9" w:rsidRPr="009938C6" w:rsidRDefault="00B415D9" w:rsidP="00F866EA">
            <w:pPr>
              <w:spacing w:after="0" w:line="240" w:lineRule="auto"/>
            </w:pPr>
            <w:r>
              <w:t>IHS</w:t>
            </w:r>
          </w:p>
        </w:tc>
        <w:tc>
          <w:tcPr>
            <w:tcW w:w="2037" w:type="dxa"/>
            <w:tcBorders>
              <w:top w:val="single" w:sz="4" w:space="0" w:color="auto"/>
              <w:left w:val="nil"/>
              <w:right w:val="nil"/>
            </w:tcBorders>
            <w:shd w:val="clear" w:color="auto" w:fill="auto"/>
            <w:noWrap/>
            <w:vAlign w:val="center"/>
            <w:hideMark/>
          </w:tcPr>
          <w:p w14:paraId="1EC56327" w14:textId="77777777" w:rsidR="00B415D9" w:rsidRPr="009938C6" w:rsidRDefault="00B415D9" w:rsidP="00F866EA">
            <w:pPr>
              <w:spacing w:after="0" w:line="240" w:lineRule="auto"/>
              <w:rPr>
                <w:i/>
                <w:iCs/>
                <w:color w:val="000000"/>
              </w:rPr>
            </w:pPr>
            <w:r w:rsidRPr="009938C6">
              <w:rPr>
                <w:i/>
                <w:iCs/>
                <w:color w:val="000000"/>
              </w:rPr>
              <w:t>ω</w:t>
            </w:r>
            <w:r w:rsidRPr="009938C6">
              <w:rPr>
                <w:i/>
                <w:iCs/>
                <w:color w:val="000000"/>
                <w:vertAlign w:val="subscript"/>
              </w:rPr>
              <w:t>h</w:t>
            </w:r>
          </w:p>
        </w:tc>
        <w:tc>
          <w:tcPr>
            <w:tcW w:w="1302" w:type="dxa"/>
            <w:tcBorders>
              <w:top w:val="single" w:sz="4" w:space="0" w:color="auto"/>
              <w:left w:val="nil"/>
              <w:bottom w:val="nil"/>
              <w:right w:val="nil"/>
            </w:tcBorders>
            <w:shd w:val="clear" w:color="auto" w:fill="auto"/>
            <w:noWrap/>
            <w:vAlign w:val="center"/>
            <w:hideMark/>
          </w:tcPr>
          <w:p w14:paraId="1579898A" w14:textId="77777777" w:rsidR="00B415D9" w:rsidRPr="009938C6" w:rsidRDefault="00B415D9" w:rsidP="00F866EA">
            <w:pPr>
              <w:spacing w:after="0" w:line="240" w:lineRule="auto"/>
              <w:rPr>
                <w:color w:val="000000"/>
              </w:rPr>
            </w:pPr>
            <w:r w:rsidRPr="009938C6">
              <w:rPr>
                <w:color w:val="000000"/>
              </w:rPr>
              <w:t>-.03</w:t>
            </w:r>
          </w:p>
        </w:tc>
        <w:tc>
          <w:tcPr>
            <w:tcW w:w="1230" w:type="dxa"/>
            <w:tcBorders>
              <w:top w:val="single" w:sz="4" w:space="0" w:color="auto"/>
              <w:left w:val="nil"/>
              <w:bottom w:val="nil"/>
              <w:right w:val="nil"/>
            </w:tcBorders>
            <w:shd w:val="clear" w:color="auto" w:fill="auto"/>
            <w:noWrap/>
            <w:vAlign w:val="center"/>
            <w:hideMark/>
          </w:tcPr>
          <w:p w14:paraId="729E39B6" w14:textId="77777777" w:rsidR="00B415D9" w:rsidRPr="009938C6" w:rsidRDefault="00B415D9" w:rsidP="00F866EA">
            <w:pPr>
              <w:spacing w:after="0" w:line="240" w:lineRule="auto"/>
              <w:rPr>
                <w:color w:val="000000"/>
              </w:rPr>
            </w:pPr>
          </w:p>
        </w:tc>
        <w:tc>
          <w:tcPr>
            <w:tcW w:w="1230" w:type="dxa"/>
            <w:tcBorders>
              <w:top w:val="single" w:sz="4" w:space="0" w:color="auto"/>
              <w:left w:val="nil"/>
              <w:bottom w:val="nil"/>
              <w:right w:val="nil"/>
            </w:tcBorders>
            <w:shd w:val="clear" w:color="auto" w:fill="auto"/>
            <w:noWrap/>
            <w:vAlign w:val="center"/>
            <w:hideMark/>
          </w:tcPr>
          <w:p w14:paraId="3B18FF5E" w14:textId="77777777" w:rsidR="00B415D9" w:rsidRPr="009938C6" w:rsidRDefault="00B415D9" w:rsidP="00F866EA">
            <w:pPr>
              <w:spacing w:after="0" w:line="240" w:lineRule="auto"/>
            </w:pPr>
          </w:p>
        </w:tc>
        <w:tc>
          <w:tcPr>
            <w:tcW w:w="1235" w:type="dxa"/>
            <w:tcBorders>
              <w:top w:val="single" w:sz="4" w:space="0" w:color="auto"/>
              <w:left w:val="nil"/>
              <w:bottom w:val="nil"/>
              <w:right w:val="nil"/>
            </w:tcBorders>
            <w:shd w:val="clear" w:color="auto" w:fill="auto"/>
            <w:noWrap/>
            <w:vAlign w:val="center"/>
            <w:hideMark/>
          </w:tcPr>
          <w:p w14:paraId="4909838D" w14:textId="77777777" w:rsidR="00B415D9" w:rsidRPr="009938C6" w:rsidRDefault="00B415D9" w:rsidP="00F866EA">
            <w:pPr>
              <w:spacing w:after="0" w:line="240" w:lineRule="auto"/>
            </w:pPr>
          </w:p>
        </w:tc>
      </w:tr>
      <w:tr w:rsidR="00B415D9" w:rsidRPr="009938C6" w14:paraId="1349C330" w14:textId="77777777" w:rsidTr="00F866EA">
        <w:trPr>
          <w:trHeight w:val="432"/>
        </w:trPr>
        <w:tc>
          <w:tcPr>
            <w:tcW w:w="764" w:type="dxa"/>
            <w:vMerge/>
            <w:tcBorders>
              <w:top w:val="single" w:sz="4" w:space="0" w:color="auto"/>
              <w:left w:val="nil"/>
              <w:bottom w:val="single" w:sz="4" w:space="0" w:color="auto"/>
              <w:right w:val="nil"/>
            </w:tcBorders>
            <w:vAlign w:val="center"/>
            <w:hideMark/>
          </w:tcPr>
          <w:p w14:paraId="1EF7890B" w14:textId="77777777" w:rsidR="00B415D9" w:rsidRPr="009938C6" w:rsidRDefault="00B415D9" w:rsidP="00F866EA">
            <w:pPr>
              <w:spacing w:after="0" w:line="240" w:lineRule="auto"/>
              <w:jc w:val="left"/>
            </w:pPr>
          </w:p>
        </w:tc>
        <w:tc>
          <w:tcPr>
            <w:tcW w:w="2037" w:type="dxa"/>
            <w:tcBorders>
              <w:left w:val="nil"/>
              <w:right w:val="nil"/>
            </w:tcBorders>
            <w:shd w:val="clear" w:color="auto" w:fill="auto"/>
            <w:noWrap/>
            <w:vAlign w:val="center"/>
            <w:hideMark/>
          </w:tcPr>
          <w:p w14:paraId="195138C6" w14:textId="77777777" w:rsidR="00B415D9" w:rsidRPr="009938C6" w:rsidRDefault="00B415D9" w:rsidP="00F866EA">
            <w:pPr>
              <w:spacing w:after="0" w:line="240" w:lineRule="auto"/>
              <w:rPr>
                <w:i/>
                <w:iCs/>
                <w:color w:val="000000"/>
              </w:rPr>
            </w:pPr>
            <w:r w:rsidRPr="009938C6">
              <w:rPr>
                <w:i/>
                <w:iCs/>
                <w:color w:val="000000"/>
              </w:rPr>
              <w:t>ω</w:t>
            </w:r>
            <w:r w:rsidRPr="009938C6">
              <w:rPr>
                <w:i/>
                <w:iCs/>
                <w:color w:val="000000"/>
                <w:vertAlign w:val="subscript"/>
              </w:rPr>
              <w:t>t</w:t>
            </w:r>
          </w:p>
        </w:tc>
        <w:tc>
          <w:tcPr>
            <w:tcW w:w="1302" w:type="dxa"/>
            <w:tcBorders>
              <w:top w:val="nil"/>
              <w:left w:val="nil"/>
              <w:bottom w:val="nil"/>
              <w:right w:val="nil"/>
            </w:tcBorders>
            <w:shd w:val="clear" w:color="auto" w:fill="auto"/>
            <w:noWrap/>
            <w:vAlign w:val="center"/>
            <w:hideMark/>
          </w:tcPr>
          <w:p w14:paraId="5BFBCC3C" w14:textId="77777777" w:rsidR="00B415D9" w:rsidRPr="009938C6" w:rsidRDefault="00B415D9" w:rsidP="00F866EA">
            <w:pPr>
              <w:spacing w:after="0" w:line="240" w:lineRule="auto"/>
              <w:rPr>
                <w:i/>
                <w:iCs/>
                <w:color w:val="000000"/>
              </w:rPr>
            </w:pPr>
          </w:p>
        </w:tc>
        <w:tc>
          <w:tcPr>
            <w:tcW w:w="1230" w:type="dxa"/>
            <w:tcBorders>
              <w:top w:val="nil"/>
              <w:left w:val="nil"/>
              <w:bottom w:val="nil"/>
              <w:right w:val="nil"/>
            </w:tcBorders>
            <w:shd w:val="clear" w:color="auto" w:fill="auto"/>
            <w:noWrap/>
            <w:vAlign w:val="center"/>
            <w:hideMark/>
          </w:tcPr>
          <w:p w14:paraId="65D6FE80" w14:textId="77777777" w:rsidR="00B415D9" w:rsidRPr="009938C6" w:rsidRDefault="00B415D9" w:rsidP="00F866EA">
            <w:pPr>
              <w:spacing w:after="0" w:line="240" w:lineRule="auto"/>
              <w:rPr>
                <w:b/>
                <w:bCs/>
                <w:color w:val="000000"/>
              </w:rPr>
            </w:pPr>
            <w:r w:rsidRPr="009938C6">
              <w:rPr>
                <w:b/>
                <w:bCs/>
                <w:color w:val="000000"/>
              </w:rPr>
              <w:t>.34</w:t>
            </w:r>
          </w:p>
        </w:tc>
        <w:tc>
          <w:tcPr>
            <w:tcW w:w="1230" w:type="dxa"/>
            <w:tcBorders>
              <w:top w:val="nil"/>
              <w:left w:val="nil"/>
              <w:bottom w:val="nil"/>
              <w:right w:val="nil"/>
            </w:tcBorders>
            <w:shd w:val="clear" w:color="auto" w:fill="auto"/>
            <w:noWrap/>
            <w:vAlign w:val="center"/>
            <w:hideMark/>
          </w:tcPr>
          <w:p w14:paraId="03EE5323" w14:textId="77777777" w:rsidR="00B415D9" w:rsidRPr="009938C6" w:rsidRDefault="00B415D9" w:rsidP="00F866EA">
            <w:pPr>
              <w:spacing w:after="0" w:line="240" w:lineRule="auto"/>
              <w:rPr>
                <w:b/>
                <w:bCs/>
                <w:color w:val="000000"/>
              </w:rPr>
            </w:pPr>
          </w:p>
        </w:tc>
        <w:tc>
          <w:tcPr>
            <w:tcW w:w="1235" w:type="dxa"/>
            <w:tcBorders>
              <w:top w:val="nil"/>
              <w:left w:val="nil"/>
              <w:bottom w:val="nil"/>
              <w:right w:val="nil"/>
            </w:tcBorders>
            <w:shd w:val="clear" w:color="auto" w:fill="auto"/>
            <w:noWrap/>
            <w:vAlign w:val="center"/>
            <w:hideMark/>
          </w:tcPr>
          <w:p w14:paraId="68F82900" w14:textId="77777777" w:rsidR="00B415D9" w:rsidRPr="009938C6" w:rsidRDefault="00B415D9" w:rsidP="00F866EA">
            <w:pPr>
              <w:spacing w:after="0" w:line="240" w:lineRule="auto"/>
            </w:pPr>
          </w:p>
        </w:tc>
      </w:tr>
      <w:tr w:rsidR="00B415D9" w:rsidRPr="009938C6" w14:paraId="01D045C1" w14:textId="77777777" w:rsidTr="00F866EA">
        <w:trPr>
          <w:trHeight w:val="366"/>
        </w:trPr>
        <w:tc>
          <w:tcPr>
            <w:tcW w:w="764" w:type="dxa"/>
            <w:vMerge/>
            <w:tcBorders>
              <w:top w:val="single" w:sz="4" w:space="0" w:color="auto"/>
              <w:left w:val="nil"/>
              <w:bottom w:val="single" w:sz="4" w:space="0" w:color="auto"/>
              <w:right w:val="nil"/>
            </w:tcBorders>
            <w:vAlign w:val="center"/>
            <w:hideMark/>
          </w:tcPr>
          <w:p w14:paraId="0FD1C848" w14:textId="77777777" w:rsidR="00B415D9" w:rsidRPr="009938C6" w:rsidRDefault="00B415D9" w:rsidP="00F866EA">
            <w:pPr>
              <w:spacing w:after="0" w:line="240" w:lineRule="auto"/>
              <w:jc w:val="left"/>
            </w:pPr>
          </w:p>
        </w:tc>
        <w:tc>
          <w:tcPr>
            <w:tcW w:w="2037" w:type="dxa"/>
            <w:tcBorders>
              <w:left w:val="nil"/>
              <w:right w:val="nil"/>
            </w:tcBorders>
            <w:shd w:val="clear" w:color="auto" w:fill="auto"/>
            <w:noWrap/>
            <w:vAlign w:val="center"/>
            <w:hideMark/>
          </w:tcPr>
          <w:p w14:paraId="7DFD1C56" w14:textId="77777777" w:rsidR="00B415D9" w:rsidRPr="009938C6" w:rsidRDefault="00B415D9" w:rsidP="00F866EA">
            <w:pPr>
              <w:spacing w:after="0" w:line="240" w:lineRule="auto"/>
              <w:rPr>
                <w:i/>
                <w:iCs/>
                <w:color w:val="000000"/>
              </w:rPr>
            </w:pPr>
            <w:r w:rsidRPr="009938C6">
              <w:rPr>
                <w:i/>
                <w:iCs/>
                <w:color w:val="000000"/>
              </w:rPr>
              <w:t>β</w:t>
            </w:r>
          </w:p>
        </w:tc>
        <w:tc>
          <w:tcPr>
            <w:tcW w:w="1302" w:type="dxa"/>
            <w:tcBorders>
              <w:top w:val="nil"/>
              <w:left w:val="nil"/>
              <w:bottom w:val="nil"/>
              <w:right w:val="nil"/>
            </w:tcBorders>
            <w:shd w:val="clear" w:color="auto" w:fill="auto"/>
            <w:noWrap/>
            <w:vAlign w:val="center"/>
            <w:hideMark/>
          </w:tcPr>
          <w:p w14:paraId="7235198F" w14:textId="77777777" w:rsidR="00B415D9" w:rsidRPr="009938C6" w:rsidRDefault="00B415D9" w:rsidP="00F866EA">
            <w:pPr>
              <w:spacing w:after="0" w:line="240" w:lineRule="auto"/>
              <w:rPr>
                <w:i/>
                <w:iCs/>
                <w:color w:val="000000"/>
              </w:rPr>
            </w:pPr>
          </w:p>
        </w:tc>
        <w:tc>
          <w:tcPr>
            <w:tcW w:w="1230" w:type="dxa"/>
            <w:tcBorders>
              <w:top w:val="nil"/>
              <w:left w:val="nil"/>
              <w:bottom w:val="nil"/>
              <w:right w:val="nil"/>
            </w:tcBorders>
            <w:shd w:val="clear" w:color="auto" w:fill="auto"/>
            <w:noWrap/>
            <w:vAlign w:val="center"/>
            <w:hideMark/>
          </w:tcPr>
          <w:p w14:paraId="7A2268C6" w14:textId="77777777" w:rsidR="00B415D9" w:rsidRPr="009938C6" w:rsidRDefault="00B415D9" w:rsidP="00F866EA">
            <w:pPr>
              <w:spacing w:after="0" w:line="240" w:lineRule="auto"/>
            </w:pPr>
          </w:p>
        </w:tc>
        <w:tc>
          <w:tcPr>
            <w:tcW w:w="1230" w:type="dxa"/>
            <w:tcBorders>
              <w:top w:val="nil"/>
              <w:left w:val="nil"/>
              <w:bottom w:val="nil"/>
              <w:right w:val="nil"/>
            </w:tcBorders>
            <w:shd w:val="clear" w:color="auto" w:fill="auto"/>
            <w:noWrap/>
            <w:vAlign w:val="center"/>
            <w:hideMark/>
          </w:tcPr>
          <w:p w14:paraId="151A6E71" w14:textId="77777777" w:rsidR="00B415D9" w:rsidRPr="009938C6" w:rsidRDefault="00B415D9" w:rsidP="00F866EA">
            <w:pPr>
              <w:spacing w:after="0" w:line="240" w:lineRule="auto"/>
              <w:rPr>
                <w:b/>
                <w:bCs/>
                <w:color w:val="000000"/>
              </w:rPr>
            </w:pPr>
            <w:r w:rsidRPr="009938C6">
              <w:rPr>
                <w:b/>
                <w:bCs/>
                <w:color w:val="000000"/>
              </w:rPr>
              <w:t>.38</w:t>
            </w:r>
          </w:p>
        </w:tc>
        <w:tc>
          <w:tcPr>
            <w:tcW w:w="1235" w:type="dxa"/>
            <w:tcBorders>
              <w:top w:val="nil"/>
              <w:left w:val="nil"/>
              <w:bottom w:val="nil"/>
              <w:right w:val="nil"/>
            </w:tcBorders>
            <w:shd w:val="clear" w:color="auto" w:fill="auto"/>
            <w:noWrap/>
            <w:vAlign w:val="center"/>
            <w:hideMark/>
          </w:tcPr>
          <w:p w14:paraId="320B97EE" w14:textId="77777777" w:rsidR="00B415D9" w:rsidRPr="009938C6" w:rsidRDefault="00B415D9" w:rsidP="00F866EA">
            <w:pPr>
              <w:spacing w:after="0" w:line="240" w:lineRule="auto"/>
              <w:rPr>
                <w:b/>
                <w:bCs/>
                <w:color w:val="000000"/>
              </w:rPr>
            </w:pPr>
          </w:p>
        </w:tc>
      </w:tr>
      <w:tr w:rsidR="00B415D9" w:rsidRPr="009938C6" w14:paraId="2E381B1E" w14:textId="77777777" w:rsidTr="00F866EA">
        <w:trPr>
          <w:trHeight w:val="503"/>
        </w:trPr>
        <w:tc>
          <w:tcPr>
            <w:tcW w:w="764" w:type="dxa"/>
            <w:vMerge/>
            <w:tcBorders>
              <w:top w:val="single" w:sz="4" w:space="0" w:color="auto"/>
              <w:left w:val="nil"/>
              <w:bottom w:val="single" w:sz="4" w:space="0" w:color="auto"/>
              <w:right w:val="nil"/>
            </w:tcBorders>
            <w:vAlign w:val="center"/>
            <w:hideMark/>
          </w:tcPr>
          <w:p w14:paraId="2E10AABF" w14:textId="77777777" w:rsidR="00B415D9" w:rsidRPr="009938C6" w:rsidRDefault="00B415D9" w:rsidP="00F866EA">
            <w:pPr>
              <w:spacing w:after="0" w:line="240" w:lineRule="auto"/>
              <w:jc w:val="left"/>
            </w:pPr>
          </w:p>
        </w:tc>
        <w:tc>
          <w:tcPr>
            <w:tcW w:w="2037" w:type="dxa"/>
            <w:tcBorders>
              <w:left w:val="nil"/>
              <w:right w:val="nil"/>
            </w:tcBorders>
            <w:shd w:val="clear" w:color="auto" w:fill="auto"/>
            <w:noWrap/>
            <w:vAlign w:val="center"/>
            <w:hideMark/>
          </w:tcPr>
          <w:p w14:paraId="50732C9E" w14:textId="77777777" w:rsidR="00B415D9" w:rsidRPr="009938C6" w:rsidRDefault="001474EE" w:rsidP="00F866EA">
            <w:pPr>
              <w:spacing w:after="0" w:line="240" w:lineRule="auto"/>
              <w:rPr>
                <w:color w:val="000000"/>
              </w:rPr>
            </w:pPr>
            <m:oMath>
              <m:acc>
                <m:accPr>
                  <m:chr m:val="̅"/>
                  <m:ctrlPr>
                    <w:rPr>
                      <w:rFonts w:ascii="Cambria Math" w:hAnsi="Cambria Math"/>
                      <w:i/>
                      <w:iCs/>
                    </w:rPr>
                  </m:ctrlPr>
                </m:accPr>
                <m:e>
                  <m:r>
                    <w:rPr>
                      <w:rFonts w:ascii="Cambria Math" w:hAnsi="Cambria Math"/>
                    </w:rPr>
                    <m:t>h</m:t>
                  </m:r>
                </m:e>
              </m:acc>
            </m:oMath>
            <w:r w:rsidR="00B415D9" w:rsidRPr="00582CB8">
              <w:rPr>
                <w:vertAlign w:val="superscript"/>
              </w:rPr>
              <w:t>2</w:t>
            </w:r>
          </w:p>
        </w:tc>
        <w:tc>
          <w:tcPr>
            <w:tcW w:w="1302" w:type="dxa"/>
            <w:tcBorders>
              <w:top w:val="nil"/>
              <w:left w:val="nil"/>
              <w:bottom w:val="nil"/>
              <w:right w:val="nil"/>
            </w:tcBorders>
            <w:shd w:val="clear" w:color="auto" w:fill="auto"/>
            <w:noWrap/>
            <w:vAlign w:val="center"/>
            <w:hideMark/>
          </w:tcPr>
          <w:p w14:paraId="6D8381F6" w14:textId="77777777" w:rsidR="00B415D9" w:rsidRPr="009938C6" w:rsidRDefault="00B415D9" w:rsidP="00F866EA">
            <w:pPr>
              <w:spacing w:after="0" w:line="240" w:lineRule="auto"/>
              <w:rPr>
                <w:color w:val="000000"/>
              </w:rPr>
            </w:pPr>
          </w:p>
        </w:tc>
        <w:tc>
          <w:tcPr>
            <w:tcW w:w="1230" w:type="dxa"/>
            <w:tcBorders>
              <w:top w:val="nil"/>
              <w:left w:val="nil"/>
              <w:bottom w:val="nil"/>
              <w:right w:val="nil"/>
            </w:tcBorders>
            <w:shd w:val="clear" w:color="auto" w:fill="auto"/>
            <w:noWrap/>
            <w:vAlign w:val="center"/>
            <w:hideMark/>
          </w:tcPr>
          <w:p w14:paraId="691DAF07" w14:textId="77777777" w:rsidR="00B415D9" w:rsidRPr="009938C6" w:rsidRDefault="00B415D9" w:rsidP="00F866EA">
            <w:pPr>
              <w:spacing w:after="0" w:line="240" w:lineRule="auto"/>
            </w:pPr>
          </w:p>
        </w:tc>
        <w:tc>
          <w:tcPr>
            <w:tcW w:w="1230" w:type="dxa"/>
            <w:tcBorders>
              <w:top w:val="nil"/>
              <w:left w:val="nil"/>
              <w:bottom w:val="nil"/>
              <w:right w:val="nil"/>
            </w:tcBorders>
            <w:shd w:val="clear" w:color="auto" w:fill="auto"/>
            <w:noWrap/>
            <w:vAlign w:val="center"/>
            <w:hideMark/>
          </w:tcPr>
          <w:p w14:paraId="32D098B4" w14:textId="77777777" w:rsidR="00B415D9" w:rsidRPr="009938C6" w:rsidRDefault="00B415D9" w:rsidP="00F866EA">
            <w:pPr>
              <w:spacing w:after="0" w:line="240" w:lineRule="auto"/>
            </w:pPr>
          </w:p>
        </w:tc>
        <w:tc>
          <w:tcPr>
            <w:tcW w:w="1235" w:type="dxa"/>
            <w:tcBorders>
              <w:top w:val="nil"/>
              <w:left w:val="nil"/>
              <w:bottom w:val="nil"/>
              <w:right w:val="nil"/>
            </w:tcBorders>
            <w:shd w:val="clear" w:color="auto" w:fill="auto"/>
            <w:noWrap/>
            <w:vAlign w:val="center"/>
            <w:hideMark/>
          </w:tcPr>
          <w:p w14:paraId="077F0038" w14:textId="77777777" w:rsidR="00B415D9" w:rsidRPr="009938C6" w:rsidRDefault="00B415D9" w:rsidP="00F866EA">
            <w:pPr>
              <w:spacing w:after="0" w:line="240" w:lineRule="auto"/>
              <w:rPr>
                <w:b/>
                <w:bCs/>
                <w:color w:val="000000"/>
              </w:rPr>
            </w:pPr>
            <w:r w:rsidRPr="009938C6">
              <w:rPr>
                <w:b/>
                <w:bCs/>
                <w:color w:val="000000"/>
              </w:rPr>
              <w:t>.27</w:t>
            </w:r>
          </w:p>
        </w:tc>
      </w:tr>
      <w:tr w:rsidR="00B415D9" w:rsidRPr="009938C6" w14:paraId="5D3D7DF2" w14:textId="77777777" w:rsidTr="00F866EA">
        <w:trPr>
          <w:trHeight w:val="432"/>
        </w:trPr>
        <w:tc>
          <w:tcPr>
            <w:tcW w:w="7800" w:type="dxa"/>
            <w:gridSpan w:val="6"/>
            <w:tcBorders>
              <w:top w:val="single" w:sz="4" w:space="0" w:color="auto"/>
              <w:left w:val="nil"/>
              <w:bottom w:val="single" w:sz="4" w:space="0" w:color="auto"/>
              <w:right w:val="nil"/>
            </w:tcBorders>
            <w:vAlign w:val="center"/>
          </w:tcPr>
          <w:p w14:paraId="5C7843D1" w14:textId="77777777" w:rsidR="00B415D9" w:rsidRDefault="00B415D9" w:rsidP="00F866EA">
            <w:pPr>
              <w:spacing w:after="0" w:line="240" w:lineRule="auto"/>
              <w:jc w:val="left"/>
              <w:rPr>
                <w:i/>
                <w:iCs/>
              </w:rPr>
            </w:pPr>
            <w:r w:rsidRPr="007D405D">
              <w:rPr>
                <w:i/>
                <w:iCs/>
              </w:rPr>
              <w:t xml:space="preserve">Note. </w:t>
            </w:r>
            <w:r w:rsidRPr="007D405D">
              <w:t xml:space="preserve">N = 63 countries. Correlations significant at the .05 level are </w:t>
            </w:r>
            <w:r w:rsidRPr="007D405D">
              <w:rPr>
                <w:b/>
                <w:bCs/>
              </w:rPr>
              <w:t>bolded</w:t>
            </w:r>
            <w:r w:rsidRPr="007D405D">
              <w:t>.</w:t>
            </w:r>
            <w:r w:rsidRPr="007D405D">
              <w:rPr>
                <w:i/>
                <w:iCs/>
              </w:rPr>
              <w:t xml:space="preserve"> </w:t>
            </w:r>
          </w:p>
          <w:p w14:paraId="39751F45" w14:textId="1B88D52D" w:rsidR="0012683D" w:rsidRPr="00926DFD" w:rsidRDefault="0012683D" w:rsidP="00926DFD">
            <w:pPr>
              <w:spacing w:after="0" w:line="240" w:lineRule="auto"/>
              <w:jc w:val="left"/>
              <w:rPr>
                <w:color w:val="000000"/>
              </w:rPr>
            </w:pPr>
            <w:r w:rsidRPr="0012683D">
              <w:t>ω</w:t>
            </w:r>
            <w:r w:rsidRPr="00926DFD">
              <w:rPr>
                <w:vertAlign w:val="subscript"/>
              </w:rPr>
              <w:t>t</w:t>
            </w:r>
            <w:r w:rsidRPr="0012683D">
              <w:t xml:space="preserve"> = total common variance, ω</w:t>
            </w:r>
            <w:r w:rsidRPr="00926DFD">
              <w:rPr>
                <w:vertAlign w:val="subscript"/>
              </w:rPr>
              <w:t>h</w:t>
            </w:r>
            <w:r w:rsidRPr="0012683D">
              <w:t xml:space="preserve"> = general factor saturation, β = smallest split</w:t>
            </w:r>
            <w:r w:rsidR="00926DFD">
              <w:t xml:space="preserve"> </w:t>
            </w:r>
            <w:r w:rsidRPr="0012683D">
              <w:t xml:space="preserve">half reliability, </w:t>
            </w:r>
            <m:oMath>
              <m:acc>
                <m:accPr>
                  <m:chr m:val="̅"/>
                  <m:ctrlPr>
                    <w:rPr>
                      <w:rFonts w:ascii="Cambria Math" w:hAnsi="Cambria Math"/>
                      <w:i/>
                      <w:iCs/>
                    </w:rPr>
                  </m:ctrlPr>
                </m:accPr>
                <m:e>
                  <m:r>
                    <w:rPr>
                      <w:rFonts w:ascii="Cambria Math" w:hAnsi="Cambria Math"/>
                    </w:rPr>
                    <m:t>h</m:t>
                  </m:r>
                </m:e>
              </m:acc>
            </m:oMath>
            <w:r w:rsidR="00926DFD" w:rsidRPr="00582CB8">
              <w:rPr>
                <w:vertAlign w:val="superscript"/>
              </w:rPr>
              <w:t>2</w:t>
            </w:r>
            <w:r w:rsidRPr="0012683D">
              <w:t xml:space="preserve"> = average communality score.</w:t>
            </w:r>
          </w:p>
        </w:tc>
      </w:tr>
    </w:tbl>
    <w:p w14:paraId="414022AD" w14:textId="77777777" w:rsidR="00B415D9" w:rsidRPr="00616904" w:rsidRDefault="00B415D9" w:rsidP="00C66D5C">
      <w:pPr>
        <w:spacing w:after="0"/>
        <w:jc w:val="left"/>
      </w:pPr>
    </w:p>
    <w:p w14:paraId="2DAFDB2A" w14:textId="492C8CA3" w:rsidR="00341476" w:rsidRDefault="00341476" w:rsidP="00C66D5C">
      <w:pPr>
        <w:spacing w:after="0"/>
        <w:jc w:val="left"/>
        <w:rPr>
          <w:b/>
          <w:bCs/>
          <w:i/>
          <w:iCs/>
        </w:rPr>
      </w:pPr>
      <w:r>
        <w:rPr>
          <w:b/>
          <w:bCs/>
          <w:i/>
          <w:iCs/>
        </w:rPr>
        <w:t>Country</w:t>
      </w:r>
      <w:r w:rsidR="00433092">
        <w:rPr>
          <w:b/>
          <w:bCs/>
          <w:i/>
          <w:iCs/>
        </w:rPr>
        <w:t>-</w:t>
      </w:r>
      <w:r>
        <w:rPr>
          <w:b/>
          <w:bCs/>
          <w:i/>
          <w:iCs/>
        </w:rPr>
        <w:t>Level Predictors of Happiness Measure Properties</w:t>
      </w:r>
    </w:p>
    <w:p w14:paraId="13D41214" w14:textId="4D1C1A36" w:rsidR="001C180C" w:rsidRDefault="001C180C" w:rsidP="00C66D5C">
      <w:pPr>
        <w:spacing w:after="0"/>
        <w:jc w:val="left"/>
      </w:pPr>
      <w:r>
        <w:tab/>
        <w:t xml:space="preserve">The last set of analyses attempted to find predictors of the happiness measure reliabilities and associations. </w:t>
      </w:r>
      <w:r w:rsidR="0022172F">
        <w:t>If there are meaningful patterns in the data for the assessment of happiness across countries then the</w:t>
      </w:r>
      <w:r w:rsidR="00C662DB">
        <w:t>se patterns can be predicted from other country</w:t>
      </w:r>
      <w:r w:rsidR="00433092">
        <w:t>-</w:t>
      </w:r>
      <w:r w:rsidR="00C662DB">
        <w:t xml:space="preserve">level variables. </w:t>
      </w:r>
      <w:r w:rsidR="00967C31">
        <w:t xml:space="preserve">The first set of predictors were objective country level variables obtained from government sources and include the Human Development Index (HDI), population growth rate, population density, average suicide rate, and average temperature of a country. </w:t>
      </w:r>
      <w:r w:rsidR="00FE69B7">
        <w:t>Full results are shown in Figure 2</w:t>
      </w:r>
      <w:r w:rsidR="007D5CDF">
        <w:t xml:space="preserve">. </w:t>
      </w:r>
      <w:r w:rsidR="00BD56D8">
        <w:t xml:space="preserve">Across these objective country level variables, the best predictor </w:t>
      </w:r>
      <w:r w:rsidR="006E21FD">
        <w:t xml:space="preserve">of happiness measure reliability was HDI, and </w:t>
      </w:r>
      <w:r w:rsidR="004C019D">
        <w:t>these</w:t>
      </w:r>
      <w:r w:rsidR="006E21FD">
        <w:t xml:space="preserve"> association</w:t>
      </w:r>
      <w:r w:rsidR="004C019D">
        <w:t>s</w:t>
      </w:r>
      <w:r w:rsidR="006E21FD">
        <w:t xml:space="preserve"> </w:t>
      </w:r>
      <w:r w:rsidR="004C019D">
        <w:t>were</w:t>
      </w:r>
      <w:r w:rsidR="006E21FD">
        <w:t xml:space="preserve"> higher for the SHS than the IHS</w:t>
      </w:r>
      <w:r w:rsidR="001B39B7">
        <w:t xml:space="preserve">. HDI was positively correlated with </w:t>
      </w:r>
      <w:r w:rsidR="00616904">
        <w:t>all four of the SHS reliabilities (</w:t>
      </w:r>
      <w:r w:rsidR="001B39B7">
        <w:t xml:space="preserve">general factor saturation </w:t>
      </w:r>
      <w:r w:rsidR="001B39B7" w:rsidRPr="00601241">
        <w:rPr>
          <w:i/>
          <w:iCs/>
        </w:rPr>
        <w:t>r</w:t>
      </w:r>
      <w:r w:rsidR="001B39B7">
        <w:t xml:space="preserve">(60) = .48, </w:t>
      </w:r>
      <w:r w:rsidR="001B39B7" w:rsidRPr="00601241">
        <w:rPr>
          <w:i/>
          <w:iCs/>
        </w:rPr>
        <w:t>p</w:t>
      </w:r>
      <w:r w:rsidR="001B39B7">
        <w:t xml:space="preserve"> &lt; .001</w:t>
      </w:r>
      <w:r w:rsidR="00E11B9E">
        <w:t xml:space="preserve">, total common variance </w:t>
      </w:r>
      <w:r w:rsidR="00E11B9E" w:rsidRPr="00601241">
        <w:rPr>
          <w:i/>
          <w:iCs/>
        </w:rPr>
        <w:t>r</w:t>
      </w:r>
      <w:r w:rsidR="00E11B9E">
        <w:t xml:space="preserve">(60) = .76, </w:t>
      </w:r>
      <w:r w:rsidR="00E11B9E" w:rsidRPr="00601241">
        <w:rPr>
          <w:i/>
          <w:iCs/>
        </w:rPr>
        <w:t>p</w:t>
      </w:r>
      <w:r w:rsidR="00E11B9E">
        <w:t xml:space="preserve"> &lt; .001, lowest split half reliability </w:t>
      </w:r>
      <w:r w:rsidR="00E11B9E" w:rsidRPr="00601241">
        <w:rPr>
          <w:i/>
          <w:iCs/>
        </w:rPr>
        <w:t>r</w:t>
      </w:r>
      <w:r w:rsidR="00E11B9E">
        <w:t xml:space="preserve">(60) = .73, </w:t>
      </w:r>
      <w:r w:rsidR="00E11B9E" w:rsidRPr="00601241">
        <w:rPr>
          <w:i/>
          <w:iCs/>
        </w:rPr>
        <w:t>p</w:t>
      </w:r>
      <w:r w:rsidR="00E11B9E">
        <w:t xml:space="preserve"> &lt; .001, and average communality score </w:t>
      </w:r>
      <w:r w:rsidR="00E11B9E" w:rsidRPr="00601241">
        <w:rPr>
          <w:i/>
          <w:iCs/>
        </w:rPr>
        <w:t>r</w:t>
      </w:r>
      <w:r w:rsidR="00E11B9E">
        <w:t xml:space="preserve">(60) = .70, </w:t>
      </w:r>
      <w:r w:rsidR="00E11B9E" w:rsidRPr="00601241">
        <w:rPr>
          <w:i/>
          <w:iCs/>
        </w:rPr>
        <w:t>p</w:t>
      </w:r>
      <w:r w:rsidR="00E11B9E">
        <w:t xml:space="preserve"> &lt; .001</w:t>
      </w:r>
      <w:r w:rsidR="00616904">
        <w:t>)</w:t>
      </w:r>
      <w:r w:rsidR="00E11B9E">
        <w:t xml:space="preserve">. </w:t>
      </w:r>
      <w:r w:rsidR="00023C91">
        <w:t>For the IHS, HDI was significantly correlated with</w:t>
      </w:r>
      <w:r w:rsidR="00616904">
        <w:t xml:space="preserve"> two of the reliabilities</w:t>
      </w:r>
      <w:r w:rsidR="00023C91">
        <w:t xml:space="preserve"> </w:t>
      </w:r>
      <w:r w:rsidR="00616904">
        <w:t>(</w:t>
      </w:r>
      <w:r w:rsidR="00023C91">
        <w:t xml:space="preserve">total common variance </w:t>
      </w:r>
      <w:proofErr w:type="gramStart"/>
      <w:r w:rsidR="00023C91" w:rsidRPr="00601241">
        <w:rPr>
          <w:i/>
          <w:iCs/>
        </w:rPr>
        <w:t>r</w:t>
      </w:r>
      <w:r w:rsidR="00023C91">
        <w:t>(</w:t>
      </w:r>
      <w:proofErr w:type="gramEnd"/>
      <w:r w:rsidR="00023C91">
        <w:t xml:space="preserve">60) = .27, </w:t>
      </w:r>
      <w:r w:rsidR="00023C91" w:rsidRPr="00601241">
        <w:rPr>
          <w:i/>
          <w:iCs/>
        </w:rPr>
        <w:t>p</w:t>
      </w:r>
      <w:r w:rsidR="00023C91">
        <w:t xml:space="preserve"> = .03</w:t>
      </w:r>
      <w:r w:rsidR="00616904">
        <w:t xml:space="preserve">, </w:t>
      </w:r>
      <w:r w:rsidR="00023C91">
        <w:t xml:space="preserve">lowest split half reliability </w:t>
      </w:r>
      <w:r w:rsidR="00023C91" w:rsidRPr="00601241">
        <w:rPr>
          <w:i/>
          <w:iCs/>
        </w:rPr>
        <w:t>r</w:t>
      </w:r>
      <w:r w:rsidR="00023C91">
        <w:t xml:space="preserve">(60) = .33, </w:t>
      </w:r>
      <w:r w:rsidR="00023C91" w:rsidRPr="00601241">
        <w:rPr>
          <w:i/>
          <w:iCs/>
        </w:rPr>
        <w:t>p</w:t>
      </w:r>
      <w:r w:rsidR="00023C91">
        <w:t xml:space="preserve"> = .009</w:t>
      </w:r>
      <w:r w:rsidR="00616904">
        <w:t>)</w:t>
      </w:r>
      <w:r w:rsidR="00023C91">
        <w:t xml:space="preserve">. </w:t>
      </w:r>
      <w:r w:rsidR="00BA4DD8">
        <w:t>The population growth rate</w:t>
      </w:r>
      <w:r w:rsidR="00A95EFA">
        <w:t xml:space="preserve"> (</w:t>
      </w:r>
      <w:r w:rsidR="00A95EFA" w:rsidRPr="00A95EFA">
        <w:rPr>
          <w:i/>
          <w:iCs/>
        </w:rPr>
        <w:t>r</w:t>
      </w:r>
      <w:r w:rsidR="00A95EFA" w:rsidRPr="009938C6">
        <w:rPr>
          <w:i/>
          <w:iCs/>
          <w:color w:val="000000"/>
        </w:rPr>
        <w:t>ω</w:t>
      </w:r>
      <w:r w:rsidR="00A95EFA" w:rsidRPr="009938C6">
        <w:rPr>
          <w:i/>
          <w:iCs/>
          <w:color w:val="000000"/>
          <w:vertAlign w:val="subscript"/>
        </w:rPr>
        <w:t>h</w:t>
      </w:r>
      <w:r w:rsidR="00A95EFA">
        <w:t xml:space="preserve">(60) = -.32, </w:t>
      </w:r>
      <w:r w:rsidR="00A95EFA">
        <w:rPr>
          <w:i/>
          <w:iCs/>
        </w:rPr>
        <w:t>r</w:t>
      </w:r>
      <w:r w:rsidR="00A95EFA" w:rsidRPr="009938C6">
        <w:rPr>
          <w:i/>
          <w:iCs/>
          <w:color w:val="000000"/>
        </w:rPr>
        <w:t>ω</w:t>
      </w:r>
      <w:r w:rsidR="00A95EFA" w:rsidRPr="009938C6">
        <w:rPr>
          <w:i/>
          <w:iCs/>
          <w:color w:val="000000"/>
          <w:vertAlign w:val="subscript"/>
        </w:rPr>
        <w:t>t</w:t>
      </w:r>
      <w:r w:rsidR="00A95EFA">
        <w:rPr>
          <w:color w:val="000000"/>
        </w:rPr>
        <w:t xml:space="preserve">(60) = -.66, </w:t>
      </w:r>
      <w:r w:rsidR="00A95EFA">
        <w:rPr>
          <w:i/>
          <w:iCs/>
          <w:color w:val="000000"/>
        </w:rPr>
        <w:t>r</w:t>
      </w:r>
      <w:r w:rsidR="00A95EFA" w:rsidRPr="009938C6">
        <w:rPr>
          <w:i/>
          <w:iCs/>
          <w:color w:val="000000"/>
          <w:vertAlign w:val="subscript"/>
        </w:rPr>
        <w:t>β</w:t>
      </w:r>
      <w:r w:rsidR="00A95EFA" w:rsidRPr="00A95EFA">
        <w:rPr>
          <w:color w:val="000000"/>
          <w:vertAlign w:val="subscript"/>
        </w:rPr>
        <w:t xml:space="preserve"> </w:t>
      </w:r>
      <w:r w:rsidR="00A95EFA">
        <w:rPr>
          <w:color w:val="000000"/>
        </w:rPr>
        <w:t xml:space="preserve">(60) = -.61, </w:t>
      </w:r>
      <w:r w:rsidR="00451718">
        <w:rPr>
          <w:i/>
          <w:iCs/>
          <w:color w:val="000000"/>
        </w:rPr>
        <w:t>r</w:t>
      </w:r>
      <m:oMath>
        <m:acc>
          <m:accPr>
            <m:chr m:val="̅"/>
            <m:ctrlPr>
              <w:rPr>
                <w:rFonts w:ascii="Cambria Math" w:hAnsi="Cambria Math"/>
                <w:i/>
                <w:iCs/>
                <w:color w:val="000000"/>
                <w:vertAlign w:val="superscript"/>
              </w:rPr>
            </m:ctrlPr>
          </m:accPr>
          <m:e>
            <m:r>
              <w:rPr>
                <w:rFonts w:ascii="Cambria Math" w:hAnsi="Cambria Math"/>
                <w:color w:val="000000"/>
                <w:vertAlign w:val="superscript"/>
              </w:rPr>
              <m:t>h</m:t>
            </m:r>
          </m:e>
        </m:acc>
      </m:oMath>
      <w:r w:rsidR="00451718" w:rsidRPr="00451718">
        <w:rPr>
          <w:i/>
          <w:iCs/>
          <w:color w:val="000000"/>
          <w:vertAlign w:val="superscript"/>
        </w:rPr>
        <w:t>2</w:t>
      </w:r>
      <w:r w:rsidR="00451718">
        <w:rPr>
          <w:color w:val="000000"/>
        </w:rPr>
        <w:t>(60) = -.62</w:t>
      </w:r>
      <w:r w:rsidR="00A95EFA">
        <w:t>)</w:t>
      </w:r>
      <w:r w:rsidR="00451718">
        <w:t xml:space="preserve"> </w:t>
      </w:r>
      <w:r w:rsidR="00BA4DD8">
        <w:t>and average temperature</w:t>
      </w:r>
      <w:r w:rsidR="00064266">
        <w:t xml:space="preserve"> (</w:t>
      </w:r>
      <w:r w:rsidR="00064266" w:rsidRPr="00A95EFA">
        <w:rPr>
          <w:i/>
          <w:iCs/>
        </w:rPr>
        <w:t>r</w:t>
      </w:r>
      <w:r w:rsidR="00064266" w:rsidRPr="009938C6">
        <w:rPr>
          <w:i/>
          <w:iCs/>
          <w:color w:val="000000"/>
        </w:rPr>
        <w:t>ω</w:t>
      </w:r>
      <w:r w:rsidR="00064266" w:rsidRPr="009938C6">
        <w:rPr>
          <w:i/>
          <w:iCs/>
          <w:color w:val="000000"/>
          <w:vertAlign w:val="subscript"/>
        </w:rPr>
        <w:t>h</w:t>
      </w:r>
      <w:r w:rsidR="00064266">
        <w:t xml:space="preserve">(60) = -.38, </w:t>
      </w:r>
      <w:r w:rsidR="00064266">
        <w:rPr>
          <w:i/>
          <w:iCs/>
        </w:rPr>
        <w:t>r</w:t>
      </w:r>
      <w:r w:rsidR="00064266" w:rsidRPr="009938C6">
        <w:rPr>
          <w:i/>
          <w:iCs/>
          <w:color w:val="000000"/>
        </w:rPr>
        <w:t>ω</w:t>
      </w:r>
      <w:r w:rsidR="00064266" w:rsidRPr="009938C6">
        <w:rPr>
          <w:i/>
          <w:iCs/>
          <w:color w:val="000000"/>
          <w:vertAlign w:val="subscript"/>
        </w:rPr>
        <w:t>t</w:t>
      </w:r>
      <w:r w:rsidR="00064266">
        <w:rPr>
          <w:color w:val="000000"/>
        </w:rPr>
        <w:t xml:space="preserve">(60) = -.59, </w:t>
      </w:r>
      <w:r w:rsidR="00064266">
        <w:rPr>
          <w:i/>
          <w:iCs/>
          <w:color w:val="000000"/>
        </w:rPr>
        <w:t>r</w:t>
      </w:r>
      <w:r w:rsidR="00064266" w:rsidRPr="009938C6">
        <w:rPr>
          <w:i/>
          <w:iCs/>
          <w:color w:val="000000"/>
          <w:vertAlign w:val="subscript"/>
        </w:rPr>
        <w:t>β</w:t>
      </w:r>
      <w:r w:rsidR="00064266" w:rsidRPr="00A95EFA">
        <w:rPr>
          <w:color w:val="000000"/>
          <w:vertAlign w:val="subscript"/>
        </w:rPr>
        <w:t xml:space="preserve"> </w:t>
      </w:r>
      <w:r w:rsidR="00064266">
        <w:rPr>
          <w:color w:val="000000"/>
        </w:rPr>
        <w:t xml:space="preserve">(60) = -.51, </w:t>
      </w:r>
      <w:r w:rsidR="00064266">
        <w:rPr>
          <w:i/>
          <w:iCs/>
          <w:color w:val="000000"/>
        </w:rPr>
        <w:t>r</w:t>
      </w:r>
      <m:oMath>
        <m:acc>
          <m:accPr>
            <m:chr m:val="̅"/>
            <m:ctrlPr>
              <w:rPr>
                <w:rFonts w:ascii="Cambria Math" w:hAnsi="Cambria Math"/>
                <w:i/>
                <w:iCs/>
                <w:color w:val="000000"/>
                <w:vertAlign w:val="superscript"/>
              </w:rPr>
            </m:ctrlPr>
          </m:accPr>
          <m:e>
            <m:r>
              <w:rPr>
                <w:rFonts w:ascii="Cambria Math" w:hAnsi="Cambria Math"/>
                <w:color w:val="000000"/>
                <w:vertAlign w:val="superscript"/>
              </w:rPr>
              <m:t>h</m:t>
            </m:r>
          </m:e>
        </m:acc>
      </m:oMath>
      <w:r w:rsidR="00064266" w:rsidRPr="00451718">
        <w:rPr>
          <w:i/>
          <w:iCs/>
          <w:color w:val="000000"/>
          <w:vertAlign w:val="superscript"/>
        </w:rPr>
        <w:t>2</w:t>
      </w:r>
      <w:r w:rsidR="00064266">
        <w:rPr>
          <w:color w:val="000000"/>
        </w:rPr>
        <w:t>(60) = -.59</w:t>
      </w:r>
      <w:r w:rsidR="00064266">
        <w:t xml:space="preserve">) </w:t>
      </w:r>
      <w:r w:rsidR="00BA4DD8">
        <w:t xml:space="preserve">of a country were negatively related to </w:t>
      </w:r>
      <w:r w:rsidR="00616904">
        <w:t xml:space="preserve">all of </w:t>
      </w:r>
      <w:r w:rsidR="00BA4DD8">
        <w:t xml:space="preserve">the SHS reliabilities but </w:t>
      </w:r>
      <w:r w:rsidR="00616904">
        <w:t>none of</w:t>
      </w:r>
      <w:r w:rsidR="00BA4DD8">
        <w:t xml:space="preserve"> the IHS reliabilities</w:t>
      </w:r>
      <w:r w:rsidR="00064266">
        <w:t xml:space="preserve">. </w:t>
      </w:r>
      <w:r w:rsidR="008C08EA">
        <w:t xml:space="preserve">Suicide rates were unrelated to any of the happiness measure reliabilities. The strongest predictor of the correlation between the two happiness measures was a country’s </w:t>
      </w:r>
      <w:r w:rsidR="00A03AA8">
        <w:t xml:space="preserve">HDI </w:t>
      </w:r>
      <w:r w:rsidR="00A03AA8" w:rsidRPr="008C08EA">
        <w:rPr>
          <w:i/>
          <w:iCs/>
        </w:rPr>
        <w:t>r</w:t>
      </w:r>
      <w:r w:rsidR="00A03AA8">
        <w:t xml:space="preserve">(60) = .53, </w:t>
      </w:r>
      <w:r w:rsidR="00A03AA8" w:rsidRPr="008C08EA">
        <w:rPr>
          <w:i/>
          <w:iCs/>
        </w:rPr>
        <w:t>p</w:t>
      </w:r>
      <w:r w:rsidR="00A03AA8">
        <w:t xml:space="preserve"> &lt; .001, </w:t>
      </w:r>
      <w:r w:rsidR="008C08EA">
        <w:t xml:space="preserve">population growth rate </w:t>
      </w:r>
      <w:r w:rsidR="008C08EA" w:rsidRPr="008C08EA">
        <w:rPr>
          <w:i/>
          <w:iCs/>
        </w:rPr>
        <w:t>r</w:t>
      </w:r>
      <w:r w:rsidR="008C08EA">
        <w:t xml:space="preserve">(60) = </w:t>
      </w:r>
      <w:r w:rsidR="00A03AA8">
        <w:t>-</w:t>
      </w:r>
      <w:r w:rsidR="008C08EA">
        <w:t>.</w:t>
      </w:r>
      <w:r w:rsidR="00A03AA8">
        <w:t>47</w:t>
      </w:r>
      <w:r w:rsidR="008C08EA">
        <w:t xml:space="preserve">, </w:t>
      </w:r>
      <w:r w:rsidR="008C08EA" w:rsidRPr="008C08EA">
        <w:rPr>
          <w:i/>
          <w:iCs/>
        </w:rPr>
        <w:t>p</w:t>
      </w:r>
      <w:r w:rsidR="008C08EA">
        <w:t xml:space="preserve"> &lt; .001</w:t>
      </w:r>
      <w:r w:rsidR="00A03AA8">
        <w:t xml:space="preserve">, and average daily temperature </w:t>
      </w:r>
      <w:r w:rsidR="00A03AA8" w:rsidRPr="008C08EA">
        <w:rPr>
          <w:i/>
          <w:iCs/>
        </w:rPr>
        <w:t>r</w:t>
      </w:r>
      <w:r w:rsidR="00A03AA8">
        <w:t xml:space="preserve">(60) = -.35, </w:t>
      </w:r>
      <w:r w:rsidR="00A03AA8" w:rsidRPr="008C08EA">
        <w:rPr>
          <w:i/>
          <w:iCs/>
        </w:rPr>
        <w:t>p</w:t>
      </w:r>
      <w:r w:rsidR="00A03AA8">
        <w:t xml:space="preserve"> = .005. </w:t>
      </w:r>
    </w:p>
    <w:p w14:paraId="2710358B" w14:textId="3694D426" w:rsidR="00B1535C" w:rsidRDefault="00B1535C" w:rsidP="0089153E">
      <w:pPr>
        <w:spacing w:after="0"/>
        <w:ind w:firstLine="720"/>
        <w:jc w:val="left"/>
      </w:pPr>
      <w:r w:rsidRPr="001B1EEB">
        <w:rPr>
          <w:i/>
          <w:iCs/>
        </w:rPr>
        <w:lastRenderedPageBreak/>
        <w:t>Fig 2</w:t>
      </w:r>
      <w:r>
        <w:t>. Country level correlations between objective country level variables and happiness variable reliabilities</w:t>
      </w:r>
      <w:r w:rsidR="001B1EEB">
        <w:t>.</w:t>
      </w:r>
    </w:p>
    <w:p w14:paraId="069B762C" w14:textId="72EAF9C7" w:rsidR="00BC2FCF" w:rsidRPr="00BC6CE0" w:rsidRDefault="00BC2FCF" w:rsidP="0089153E">
      <w:pPr>
        <w:spacing w:after="0"/>
        <w:ind w:firstLine="720"/>
        <w:jc w:val="left"/>
      </w:pPr>
      <w:r w:rsidRPr="00750ACB">
        <w:rPr>
          <w:i/>
          <w:iCs/>
        </w:rPr>
        <w:t>Note</w:t>
      </w:r>
      <w:r>
        <w:t>. IHS = Interdependent Happiness Scale</w:t>
      </w:r>
      <w:r w:rsidR="00BC6CE0">
        <w:t>,</w:t>
      </w:r>
      <w:r>
        <w:t xml:space="preserve"> SHS = Subjective Happiness Scale</w:t>
      </w:r>
      <w:r w:rsidR="00BC6CE0">
        <w:t>,</w:t>
      </w:r>
      <w:r>
        <w:t xml:space="preserve"> </w:t>
      </w:r>
      <w:r w:rsidRPr="00BC2FCF">
        <w:t>ω</w:t>
      </w:r>
      <w:r w:rsidRPr="00750ACB">
        <w:rPr>
          <w:i/>
          <w:iCs/>
        </w:rPr>
        <w:t>t</w:t>
      </w:r>
      <w:r>
        <w:t xml:space="preserve"> = total common variance, </w:t>
      </w:r>
      <w:r w:rsidRPr="00BC2FCF">
        <w:t>ω</w:t>
      </w:r>
      <w:r w:rsidRPr="00750ACB">
        <w:rPr>
          <w:i/>
          <w:iCs/>
        </w:rPr>
        <w:t>h</w:t>
      </w:r>
      <w:r>
        <w:t xml:space="preserve"> = general factor saturation, </w:t>
      </w:r>
      <w:r w:rsidRPr="00BC2FCF">
        <w:t>β</w:t>
      </w:r>
      <w:r>
        <w:t xml:space="preserve"> = smallest split half reliability, </w:t>
      </w:r>
      <w:r w:rsidR="00243731">
        <w:t xml:space="preserve">h2 </w:t>
      </w:r>
      <w:r w:rsidR="00BC6CE0">
        <w:t xml:space="preserve">= average communality score, HDI = Human Development Index, PopDensity = population density, GrowthRate = population growth rate, SuicideRate = </w:t>
      </w:r>
      <w:r w:rsidR="002C2E33">
        <w:t xml:space="preserve">suicide rate, AvgTemp = average daily temperature. </w:t>
      </w:r>
    </w:p>
    <w:p w14:paraId="18157AA2" w14:textId="31439C40" w:rsidR="00451718" w:rsidRDefault="00802A31" w:rsidP="00C66D5C">
      <w:pPr>
        <w:spacing w:after="0"/>
        <w:jc w:val="left"/>
      </w:pPr>
      <w:r>
        <w:tab/>
        <w:t>The correlations for subjective country level variables included a measure of WEIRDness and Schwartz’s values</w:t>
      </w:r>
      <w:r w:rsidR="00085F2A">
        <w:t xml:space="preserve"> (see </w:t>
      </w:r>
      <w:r w:rsidR="00FE69B7">
        <w:t>Figure 3</w:t>
      </w:r>
      <w:r w:rsidR="00085F2A">
        <w:t>)</w:t>
      </w:r>
      <w:r>
        <w:t xml:space="preserve">. </w:t>
      </w:r>
      <w:r w:rsidR="00FD5385">
        <w:t xml:space="preserve">Consistent with the objective country level variables, there were many more correlates for the SHS reliabilities than the IHS reliabilities. For example, </w:t>
      </w:r>
      <w:r w:rsidR="00A84BDB">
        <w:t xml:space="preserve">a country’s WEIRD score was positively correlated with the SHS general factor saturation </w:t>
      </w:r>
      <w:r w:rsidR="00A84BDB" w:rsidRPr="00601241">
        <w:rPr>
          <w:i/>
          <w:iCs/>
        </w:rPr>
        <w:t>r</w:t>
      </w:r>
      <w:r w:rsidR="00A84BDB">
        <w:t>(</w:t>
      </w:r>
      <w:r w:rsidR="00C25E5D">
        <w:t>43</w:t>
      </w:r>
      <w:r w:rsidR="00A84BDB">
        <w:t xml:space="preserve">) = .43, </w:t>
      </w:r>
      <w:r w:rsidR="00A84BDB" w:rsidRPr="00601241">
        <w:rPr>
          <w:i/>
          <w:iCs/>
        </w:rPr>
        <w:t>p</w:t>
      </w:r>
      <w:r w:rsidR="00A84BDB">
        <w:t xml:space="preserve"> </w:t>
      </w:r>
      <w:r w:rsidR="00C25E5D">
        <w:t>=</w:t>
      </w:r>
      <w:r w:rsidR="00A84BDB">
        <w:t xml:space="preserve"> .00</w:t>
      </w:r>
      <w:r w:rsidR="00C25E5D">
        <w:t>3</w:t>
      </w:r>
      <w:r w:rsidR="00A84BDB">
        <w:t xml:space="preserve">, total common variance </w:t>
      </w:r>
      <w:r w:rsidR="00A84BDB" w:rsidRPr="00601241">
        <w:rPr>
          <w:i/>
          <w:iCs/>
        </w:rPr>
        <w:t>r</w:t>
      </w:r>
      <w:r w:rsidR="00A84BDB">
        <w:t>(</w:t>
      </w:r>
      <w:r w:rsidR="00C25E5D">
        <w:t>43</w:t>
      </w:r>
      <w:r w:rsidR="00A84BDB">
        <w:t xml:space="preserve">) = .57, </w:t>
      </w:r>
      <w:r w:rsidR="00A84BDB" w:rsidRPr="00601241">
        <w:rPr>
          <w:i/>
          <w:iCs/>
        </w:rPr>
        <w:t>p</w:t>
      </w:r>
      <w:r w:rsidR="00A84BDB">
        <w:t xml:space="preserve"> &lt; .001, lowest split half reliability </w:t>
      </w:r>
      <w:r w:rsidR="00A84BDB" w:rsidRPr="00601241">
        <w:rPr>
          <w:i/>
          <w:iCs/>
        </w:rPr>
        <w:t>r</w:t>
      </w:r>
      <w:r w:rsidR="00A84BDB">
        <w:t>(</w:t>
      </w:r>
      <w:r w:rsidR="00C25E5D">
        <w:t>43</w:t>
      </w:r>
      <w:r w:rsidR="00A84BDB">
        <w:t xml:space="preserve">) = .64, </w:t>
      </w:r>
      <w:r w:rsidR="00A84BDB" w:rsidRPr="00601241">
        <w:rPr>
          <w:i/>
          <w:iCs/>
        </w:rPr>
        <w:t>p</w:t>
      </w:r>
      <w:r w:rsidR="00A84BDB">
        <w:t xml:space="preserve"> &lt; .001, and average communality score </w:t>
      </w:r>
      <w:r w:rsidR="00A84BDB" w:rsidRPr="00601241">
        <w:rPr>
          <w:i/>
          <w:iCs/>
        </w:rPr>
        <w:t>r</w:t>
      </w:r>
      <w:r w:rsidR="00A84BDB">
        <w:t>(</w:t>
      </w:r>
      <w:r w:rsidR="00C25E5D">
        <w:t>43</w:t>
      </w:r>
      <w:r w:rsidR="00A84BDB">
        <w:t xml:space="preserve">) = .51, </w:t>
      </w:r>
      <w:r w:rsidR="00A84BDB" w:rsidRPr="00601241">
        <w:rPr>
          <w:i/>
          <w:iCs/>
        </w:rPr>
        <w:t>p</w:t>
      </w:r>
      <w:r w:rsidR="00A84BDB">
        <w:t xml:space="preserve"> &lt; .001 but unrelated to any of the IHS reliabilities. </w:t>
      </w:r>
      <w:r w:rsidR="001461E3">
        <w:t>Additionally, countr</w:t>
      </w:r>
      <w:r w:rsidR="006B4B40">
        <w:t>ies</w:t>
      </w:r>
      <w:r w:rsidR="001461E3">
        <w:t xml:space="preserve"> with higher SHS reliabilities also scored higher on the values of Affective Autonomy (</w:t>
      </w:r>
      <w:r w:rsidR="001461E3" w:rsidRPr="00A95EFA">
        <w:rPr>
          <w:i/>
          <w:iCs/>
        </w:rPr>
        <w:t>r</w:t>
      </w:r>
      <w:r w:rsidR="001461E3" w:rsidRPr="009938C6">
        <w:rPr>
          <w:i/>
          <w:iCs/>
          <w:color w:val="000000"/>
        </w:rPr>
        <w:t>ω</w:t>
      </w:r>
      <w:r w:rsidR="001461E3" w:rsidRPr="009938C6">
        <w:rPr>
          <w:i/>
          <w:iCs/>
          <w:color w:val="000000"/>
          <w:vertAlign w:val="subscript"/>
        </w:rPr>
        <w:t>h</w:t>
      </w:r>
      <w:r w:rsidR="001461E3">
        <w:t>(</w:t>
      </w:r>
      <w:r w:rsidR="00C25E5D">
        <w:t>57</w:t>
      </w:r>
      <w:r w:rsidR="001461E3">
        <w:t xml:space="preserve">) = </w:t>
      </w:r>
      <w:r w:rsidR="006B4B40">
        <w:t>.39</w:t>
      </w:r>
      <w:r w:rsidR="001461E3">
        <w:t xml:space="preserve">, </w:t>
      </w:r>
      <w:r w:rsidR="001461E3">
        <w:rPr>
          <w:i/>
          <w:iCs/>
        </w:rPr>
        <w:t>r</w:t>
      </w:r>
      <w:r w:rsidR="001461E3" w:rsidRPr="009938C6">
        <w:rPr>
          <w:i/>
          <w:iCs/>
          <w:color w:val="000000"/>
        </w:rPr>
        <w:t>ω</w:t>
      </w:r>
      <w:r w:rsidR="001461E3" w:rsidRPr="009938C6">
        <w:rPr>
          <w:i/>
          <w:iCs/>
          <w:color w:val="000000"/>
          <w:vertAlign w:val="subscript"/>
        </w:rPr>
        <w:t>t</w:t>
      </w:r>
      <w:r w:rsidR="001461E3">
        <w:rPr>
          <w:color w:val="000000"/>
        </w:rPr>
        <w:t>(</w:t>
      </w:r>
      <w:r w:rsidR="00C25E5D">
        <w:t>57</w:t>
      </w:r>
      <w:r w:rsidR="001461E3">
        <w:rPr>
          <w:color w:val="000000"/>
        </w:rPr>
        <w:t xml:space="preserve">) = </w:t>
      </w:r>
      <w:r w:rsidR="006B4B40">
        <w:rPr>
          <w:color w:val="000000"/>
        </w:rPr>
        <w:t>.56</w:t>
      </w:r>
      <w:r w:rsidR="001461E3">
        <w:rPr>
          <w:color w:val="000000"/>
        </w:rPr>
        <w:t xml:space="preserve">, </w:t>
      </w:r>
      <w:r w:rsidR="001461E3">
        <w:rPr>
          <w:i/>
          <w:iCs/>
          <w:color w:val="000000"/>
        </w:rPr>
        <w:t>r</w:t>
      </w:r>
      <w:r w:rsidR="001461E3" w:rsidRPr="009938C6">
        <w:rPr>
          <w:i/>
          <w:iCs/>
          <w:color w:val="000000"/>
          <w:vertAlign w:val="subscript"/>
        </w:rPr>
        <w:t>β</w:t>
      </w:r>
      <w:r w:rsidR="001461E3" w:rsidRPr="00A95EFA">
        <w:rPr>
          <w:color w:val="000000"/>
          <w:vertAlign w:val="subscript"/>
        </w:rPr>
        <w:t xml:space="preserve"> </w:t>
      </w:r>
      <w:r w:rsidR="001461E3">
        <w:rPr>
          <w:color w:val="000000"/>
        </w:rPr>
        <w:t>(</w:t>
      </w:r>
      <w:r w:rsidR="00C25E5D">
        <w:t>57</w:t>
      </w:r>
      <w:r w:rsidR="001461E3">
        <w:rPr>
          <w:color w:val="000000"/>
        </w:rPr>
        <w:t xml:space="preserve">) = </w:t>
      </w:r>
      <w:r w:rsidR="006B4B40">
        <w:rPr>
          <w:color w:val="000000"/>
        </w:rPr>
        <w:t>.49</w:t>
      </w:r>
      <w:r w:rsidR="001461E3">
        <w:rPr>
          <w:color w:val="000000"/>
        </w:rPr>
        <w:t xml:space="preserve">, </w:t>
      </w:r>
      <w:r w:rsidR="001461E3">
        <w:rPr>
          <w:i/>
          <w:iCs/>
          <w:color w:val="000000"/>
        </w:rPr>
        <w:t>r</w:t>
      </w:r>
      <m:oMath>
        <m:acc>
          <m:accPr>
            <m:chr m:val="̅"/>
            <m:ctrlPr>
              <w:rPr>
                <w:rFonts w:ascii="Cambria Math" w:hAnsi="Cambria Math"/>
                <w:i/>
                <w:iCs/>
                <w:color w:val="000000"/>
                <w:vertAlign w:val="superscript"/>
              </w:rPr>
            </m:ctrlPr>
          </m:accPr>
          <m:e>
            <m:r>
              <w:rPr>
                <w:rFonts w:ascii="Cambria Math" w:hAnsi="Cambria Math"/>
                <w:color w:val="000000"/>
                <w:vertAlign w:val="superscript"/>
              </w:rPr>
              <m:t>h</m:t>
            </m:r>
          </m:e>
        </m:acc>
      </m:oMath>
      <w:r w:rsidR="001461E3" w:rsidRPr="00451718">
        <w:rPr>
          <w:i/>
          <w:iCs/>
          <w:color w:val="000000"/>
          <w:vertAlign w:val="superscript"/>
        </w:rPr>
        <w:t>2</w:t>
      </w:r>
      <w:r w:rsidR="001461E3">
        <w:rPr>
          <w:color w:val="000000"/>
        </w:rPr>
        <w:t>(</w:t>
      </w:r>
      <w:r w:rsidR="00C25E5D">
        <w:t>57</w:t>
      </w:r>
      <w:r w:rsidR="001461E3">
        <w:rPr>
          <w:color w:val="000000"/>
        </w:rPr>
        <w:t xml:space="preserve">) = </w:t>
      </w:r>
      <w:r w:rsidR="006B4B40">
        <w:rPr>
          <w:color w:val="000000"/>
        </w:rPr>
        <w:t>.55</w:t>
      </w:r>
      <w:r w:rsidR="001461E3">
        <w:t>)</w:t>
      </w:r>
      <w:r w:rsidR="006B4B40">
        <w:t xml:space="preserve">, and Intellectual Autonomy </w:t>
      </w:r>
      <w:r w:rsidR="00C25E5D">
        <w:t>(</w:t>
      </w:r>
      <w:r w:rsidR="00C25E5D" w:rsidRPr="00A95EFA">
        <w:rPr>
          <w:i/>
          <w:iCs/>
        </w:rPr>
        <w:t>r</w:t>
      </w:r>
      <w:r w:rsidR="00C25E5D" w:rsidRPr="009938C6">
        <w:rPr>
          <w:i/>
          <w:iCs/>
          <w:color w:val="000000"/>
        </w:rPr>
        <w:t>ω</w:t>
      </w:r>
      <w:r w:rsidR="00C25E5D" w:rsidRPr="009938C6">
        <w:rPr>
          <w:i/>
          <w:iCs/>
          <w:color w:val="000000"/>
          <w:vertAlign w:val="subscript"/>
        </w:rPr>
        <w:t>h</w:t>
      </w:r>
      <w:r w:rsidR="00C25E5D">
        <w:t xml:space="preserve">(57) = .37, </w:t>
      </w:r>
      <w:r w:rsidR="00C25E5D">
        <w:rPr>
          <w:i/>
          <w:iCs/>
        </w:rPr>
        <w:t>r</w:t>
      </w:r>
      <w:r w:rsidR="00C25E5D" w:rsidRPr="009938C6">
        <w:rPr>
          <w:i/>
          <w:iCs/>
          <w:color w:val="000000"/>
        </w:rPr>
        <w:t>ω</w:t>
      </w:r>
      <w:r w:rsidR="00C25E5D" w:rsidRPr="009938C6">
        <w:rPr>
          <w:i/>
          <w:iCs/>
          <w:color w:val="000000"/>
          <w:vertAlign w:val="subscript"/>
        </w:rPr>
        <w:t>t</w:t>
      </w:r>
      <w:r w:rsidR="00C25E5D">
        <w:rPr>
          <w:color w:val="000000"/>
        </w:rPr>
        <w:t>(</w:t>
      </w:r>
      <w:r w:rsidR="00C25E5D">
        <w:t>57</w:t>
      </w:r>
      <w:r w:rsidR="00C25E5D">
        <w:rPr>
          <w:color w:val="000000"/>
        </w:rPr>
        <w:t xml:space="preserve">) = .56, </w:t>
      </w:r>
      <w:r w:rsidR="00C25E5D">
        <w:rPr>
          <w:i/>
          <w:iCs/>
          <w:color w:val="000000"/>
        </w:rPr>
        <w:t>r</w:t>
      </w:r>
      <w:r w:rsidR="00C25E5D" w:rsidRPr="009938C6">
        <w:rPr>
          <w:i/>
          <w:iCs/>
          <w:color w:val="000000"/>
          <w:vertAlign w:val="subscript"/>
        </w:rPr>
        <w:t>β</w:t>
      </w:r>
      <w:r w:rsidR="00C25E5D" w:rsidRPr="00A95EFA">
        <w:rPr>
          <w:color w:val="000000"/>
          <w:vertAlign w:val="subscript"/>
        </w:rPr>
        <w:t xml:space="preserve"> </w:t>
      </w:r>
      <w:r w:rsidR="00C25E5D">
        <w:rPr>
          <w:color w:val="000000"/>
        </w:rPr>
        <w:t>(</w:t>
      </w:r>
      <w:r w:rsidR="00C25E5D">
        <w:t>57</w:t>
      </w:r>
      <w:r w:rsidR="00C25E5D">
        <w:rPr>
          <w:color w:val="000000"/>
        </w:rPr>
        <w:t xml:space="preserve">) = .55, </w:t>
      </w:r>
      <w:r w:rsidR="00C25E5D">
        <w:rPr>
          <w:i/>
          <w:iCs/>
          <w:color w:val="000000"/>
        </w:rPr>
        <w:t>r</w:t>
      </w:r>
      <m:oMath>
        <m:acc>
          <m:accPr>
            <m:chr m:val="̅"/>
            <m:ctrlPr>
              <w:rPr>
                <w:rFonts w:ascii="Cambria Math" w:hAnsi="Cambria Math"/>
                <w:i/>
                <w:iCs/>
                <w:color w:val="000000"/>
                <w:vertAlign w:val="superscript"/>
              </w:rPr>
            </m:ctrlPr>
          </m:accPr>
          <m:e>
            <m:r>
              <w:rPr>
                <w:rFonts w:ascii="Cambria Math" w:hAnsi="Cambria Math"/>
                <w:color w:val="000000"/>
                <w:vertAlign w:val="superscript"/>
              </w:rPr>
              <m:t>h</m:t>
            </m:r>
          </m:e>
        </m:acc>
      </m:oMath>
      <w:r w:rsidR="00C25E5D" w:rsidRPr="00451718">
        <w:rPr>
          <w:i/>
          <w:iCs/>
          <w:color w:val="000000"/>
          <w:vertAlign w:val="superscript"/>
        </w:rPr>
        <w:t>2</w:t>
      </w:r>
      <w:r w:rsidR="00C25E5D">
        <w:rPr>
          <w:color w:val="000000"/>
        </w:rPr>
        <w:t>(</w:t>
      </w:r>
      <w:r w:rsidR="00C25E5D">
        <w:t>57</w:t>
      </w:r>
      <w:r w:rsidR="00C25E5D">
        <w:rPr>
          <w:color w:val="000000"/>
        </w:rPr>
        <w:t>) = .53</w:t>
      </w:r>
      <w:r w:rsidR="00C25E5D">
        <w:t>) and lower on the value of Embeddedness (</w:t>
      </w:r>
      <w:r w:rsidR="00C25E5D" w:rsidRPr="00A95EFA">
        <w:rPr>
          <w:i/>
          <w:iCs/>
        </w:rPr>
        <w:t>r</w:t>
      </w:r>
      <w:r w:rsidR="00C25E5D" w:rsidRPr="009938C6">
        <w:rPr>
          <w:i/>
          <w:iCs/>
          <w:color w:val="000000"/>
        </w:rPr>
        <w:t>ω</w:t>
      </w:r>
      <w:r w:rsidR="00C25E5D" w:rsidRPr="009938C6">
        <w:rPr>
          <w:i/>
          <w:iCs/>
          <w:color w:val="000000"/>
          <w:vertAlign w:val="subscript"/>
        </w:rPr>
        <w:t>h</w:t>
      </w:r>
      <w:r w:rsidR="00C25E5D">
        <w:t xml:space="preserve">(57) = -.43, </w:t>
      </w:r>
      <w:r w:rsidR="00C25E5D">
        <w:rPr>
          <w:i/>
          <w:iCs/>
        </w:rPr>
        <w:t>r</w:t>
      </w:r>
      <w:r w:rsidR="00C25E5D" w:rsidRPr="009938C6">
        <w:rPr>
          <w:i/>
          <w:iCs/>
          <w:color w:val="000000"/>
        </w:rPr>
        <w:t>ω</w:t>
      </w:r>
      <w:r w:rsidR="00C25E5D" w:rsidRPr="009938C6">
        <w:rPr>
          <w:i/>
          <w:iCs/>
          <w:color w:val="000000"/>
          <w:vertAlign w:val="subscript"/>
        </w:rPr>
        <w:t>t</w:t>
      </w:r>
      <w:r w:rsidR="00C25E5D">
        <w:rPr>
          <w:color w:val="000000"/>
        </w:rPr>
        <w:t>(</w:t>
      </w:r>
      <w:r w:rsidR="00C25E5D">
        <w:t>57</w:t>
      </w:r>
      <w:r w:rsidR="00C25E5D">
        <w:rPr>
          <w:color w:val="000000"/>
        </w:rPr>
        <w:t xml:space="preserve">) = -.66, </w:t>
      </w:r>
      <w:r w:rsidR="00C25E5D">
        <w:rPr>
          <w:i/>
          <w:iCs/>
          <w:color w:val="000000"/>
        </w:rPr>
        <w:t>r</w:t>
      </w:r>
      <w:r w:rsidR="00C25E5D" w:rsidRPr="009938C6">
        <w:rPr>
          <w:i/>
          <w:iCs/>
          <w:color w:val="000000"/>
          <w:vertAlign w:val="subscript"/>
        </w:rPr>
        <w:t>β</w:t>
      </w:r>
      <w:r w:rsidR="00C25E5D" w:rsidRPr="00A95EFA">
        <w:rPr>
          <w:color w:val="000000"/>
          <w:vertAlign w:val="subscript"/>
        </w:rPr>
        <w:t xml:space="preserve"> </w:t>
      </w:r>
      <w:r w:rsidR="00C25E5D">
        <w:rPr>
          <w:color w:val="000000"/>
        </w:rPr>
        <w:t>(</w:t>
      </w:r>
      <w:r w:rsidR="00C25E5D">
        <w:t>57</w:t>
      </w:r>
      <w:r w:rsidR="00C25E5D">
        <w:rPr>
          <w:color w:val="000000"/>
        </w:rPr>
        <w:t xml:space="preserve">) = -.63, </w:t>
      </w:r>
      <w:r w:rsidR="00C25E5D">
        <w:rPr>
          <w:i/>
          <w:iCs/>
          <w:color w:val="000000"/>
        </w:rPr>
        <w:t>r</w:t>
      </w:r>
      <m:oMath>
        <m:acc>
          <m:accPr>
            <m:chr m:val="̅"/>
            <m:ctrlPr>
              <w:rPr>
                <w:rFonts w:ascii="Cambria Math" w:hAnsi="Cambria Math"/>
                <w:i/>
                <w:iCs/>
                <w:color w:val="000000"/>
                <w:vertAlign w:val="superscript"/>
              </w:rPr>
            </m:ctrlPr>
          </m:accPr>
          <m:e>
            <m:r>
              <w:rPr>
                <w:rFonts w:ascii="Cambria Math" w:hAnsi="Cambria Math"/>
                <w:color w:val="000000"/>
                <w:vertAlign w:val="superscript"/>
              </w:rPr>
              <m:t>h</m:t>
            </m:r>
          </m:e>
        </m:acc>
      </m:oMath>
      <w:r w:rsidR="00C25E5D" w:rsidRPr="00451718">
        <w:rPr>
          <w:i/>
          <w:iCs/>
          <w:color w:val="000000"/>
          <w:vertAlign w:val="superscript"/>
        </w:rPr>
        <w:t>2</w:t>
      </w:r>
      <w:r w:rsidR="00C25E5D">
        <w:rPr>
          <w:color w:val="000000"/>
        </w:rPr>
        <w:t>(</w:t>
      </w:r>
      <w:r w:rsidR="00C25E5D">
        <w:t>57</w:t>
      </w:r>
      <w:r w:rsidR="00C25E5D">
        <w:rPr>
          <w:color w:val="000000"/>
        </w:rPr>
        <w:t>) = -.58</w:t>
      </w:r>
      <w:r w:rsidR="00C25E5D">
        <w:t>). Consistent with the objective country level correlates, there were substantially far fewer significant IHS reliability correlations. The only significant relationship</w:t>
      </w:r>
      <w:r w:rsidR="00A03AA8">
        <w:t xml:space="preserve"> was </w:t>
      </w:r>
      <w:r w:rsidR="00C25E5D">
        <w:t xml:space="preserve">between the lowest split half IHS reliability and higher levels of valuing Mastery </w:t>
      </w:r>
      <w:proofErr w:type="gramStart"/>
      <w:r w:rsidR="00C25E5D" w:rsidRPr="00D169D5">
        <w:rPr>
          <w:i/>
          <w:iCs/>
        </w:rPr>
        <w:t>r</w:t>
      </w:r>
      <w:r w:rsidR="00C25E5D">
        <w:t>(</w:t>
      </w:r>
      <w:proofErr w:type="gramEnd"/>
      <w:r w:rsidR="00C25E5D">
        <w:t xml:space="preserve">57) = .35, p = .007. </w:t>
      </w:r>
      <w:r w:rsidR="00A03AA8">
        <w:t xml:space="preserve">This cultural value was unrelated to any of the SHS reliabilities. The strongest predictors of the correlation between the two happiness measures were a country’s WERID score </w:t>
      </w:r>
      <w:r w:rsidR="00A03AA8" w:rsidRPr="00D169D5">
        <w:rPr>
          <w:i/>
          <w:iCs/>
        </w:rPr>
        <w:t>r</w:t>
      </w:r>
      <w:r w:rsidR="00A03AA8">
        <w:t xml:space="preserve">(43) = .42, p = .004, and </w:t>
      </w:r>
      <w:r w:rsidR="00A03AA8">
        <w:lastRenderedPageBreak/>
        <w:t>the values of Intellectual</w:t>
      </w:r>
      <w:r w:rsidR="00B838BD">
        <w:t xml:space="preserve"> </w:t>
      </w:r>
      <w:r w:rsidR="00B838BD" w:rsidRPr="00601241">
        <w:rPr>
          <w:i/>
          <w:iCs/>
        </w:rPr>
        <w:t>r</w:t>
      </w:r>
      <w:r w:rsidR="00B838BD">
        <w:t xml:space="preserve">(43) = .46, </w:t>
      </w:r>
      <w:r w:rsidR="00B838BD" w:rsidRPr="00601241">
        <w:rPr>
          <w:i/>
          <w:iCs/>
        </w:rPr>
        <w:t>p</w:t>
      </w:r>
      <w:r w:rsidR="00B838BD">
        <w:t xml:space="preserve"> &lt; .001</w:t>
      </w:r>
      <w:r w:rsidR="00A03AA8">
        <w:t xml:space="preserve"> and Affective Autonomy</w:t>
      </w:r>
      <w:r w:rsidR="00B838BD">
        <w:t xml:space="preserve"> </w:t>
      </w:r>
      <w:r w:rsidR="00B838BD" w:rsidRPr="00601241">
        <w:rPr>
          <w:i/>
          <w:iCs/>
        </w:rPr>
        <w:t>r</w:t>
      </w:r>
      <w:r w:rsidR="00B838BD">
        <w:t xml:space="preserve">(43) = .42, </w:t>
      </w:r>
      <w:r w:rsidR="00B838BD" w:rsidRPr="00601241">
        <w:rPr>
          <w:i/>
          <w:iCs/>
        </w:rPr>
        <w:t>p</w:t>
      </w:r>
      <w:r w:rsidR="00B838BD">
        <w:t xml:space="preserve"> &lt; .001</w:t>
      </w:r>
      <w:r w:rsidR="00A03AA8">
        <w:t xml:space="preserve"> and less Embeddedness </w:t>
      </w:r>
      <w:r w:rsidR="00B838BD" w:rsidRPr="00601241">
        <w:rPr>
          <w:i/>
          <w:iCs/>
        </w:rPr>
        <w:t>r</w:t>
      </w:r>
      <w:r w:rsidR="00B838BD">
        <w:t xml:space="preserve">(43) = -.47, </w:t>
      </w:r>
      <w:r w:rsidR="00B838BD" w:rsidRPr="00601241">
        <w:rPr>
          <w:i/>
          <w:iCs/>
        </w:rPr>
        <w:t>p</w:t>
      </w:r>
      <w:r w:rsidR="00B838BD">
        <w:t xml:space="preserve"> &lt; .001. </w:t>
      </w:r>
    </w:p>
    <w:p w14:paraId="09CE1CB8" w14:textId="77777777" w:rsidR="00783033" w:rsidRDefault="00783033" w:rsidP="00C66D5C">
      <w:pPr>
        <w:spacing w:after="0"/>
        <w:jc w:val="left"/>
      </w:pPr>
    </w:p>
    <w:p w14:paraId="64AF4FFB" w14:textId="3EC74D37" w:rsidR="001B1EEB" w:rsidRDefault="001B1EEB" w:rsidP="0089153E">
      <w:pPr>
        <w:spacing w:after="0"/>
        <w:ind w:firstLine="720"/>
        <w:jc w:val="left"/>
      </w:pPr>
      <w:r w:rsidRPr="001B1EEB">
        <w:rPr>
          <w:i/>
          <w:iCs/>
        </w:rPr>
        <w:t xml:space="preserve">Fig </w:t>
      </w:r>
      <w:r w:rsidR="0089153E">
        <w:rPr>
          <w:i/>
          <w:iCs/>
        </w:rPr>
        <w:t>3</w:t>
      </w:r>
      <w:r>
        <w:t>. Country level correlations between subjective country level variables and happiness variable reliabilities.</w:t>
      </w:r>
    </w:p>
    <w:p w14:paraId="7EEA0966" w14:textId="48956E8E" w:rsidR="00243731" w:rsidRDefault="00243731" w:rsidP="0089153E">
      <w:pPr>
        <w:spacing w:after="0"/>
        <w:ind w:firstLine="720"/>
        <w:jc w:val="left"/>
      </w:pPr>
      <w:r w:rsidRPr="00B424C0">
        <w:rPr>
          <w:i/>
          <w:iCs/>
        </w:rPr>
        <w:t>Note</w:t>
      </w:r>
      <w:r>
        <w:t xml:space="preserve">. IHS = Interdependent Happiness Scale, SHS = Subjective Happiness Scale, </w:t>
      </w:r>
      <w:r w:rsidRPr="00BC2FCF">
        <w:t>ω</w:t>
      </w:r>
      <w:r w:rsidRPr="00B424C0">
        <w:rPr>
          <w:i/>
          <w:iCs/>
        </w:rPr>
        <w:t>t</w:t>
      </w:r>
      <w:r>
        <w:t xml:space="preserve"> = total common variance, </w:t>
      </w:r>
      <w:r w:rsidRPr="00BC2FCF">
        <w:t>ω</w:t>
      </w:r>
      <w:r w:rsidRPr="00B424C0">
        <w:rPr>
          <w:i/>
          <w:iCs/>
        </w:rPr>
        <w:t>h</w:t>
      </w:r>
      <w:r>
        <w:t xml:space="preserve"> = general factor saturation, </w:t>
      </w:r>
      <w:r w:rsidRPr="00BC2FCF">
        <w:t>β</w:t>
      </w:r>
      <w:r>
        <w:t xml:space="preserve"> = smallest split half reliability, h2 = average communality score. WEIRD scores originally from </w:t>
      </w:r>
      <w:r w:rsidRPr="00814762">
        <w:rPr>
          <w:color w:val="000000"/>
        </w:rPr>
        <w:t>Muthukrishna</w:t>
      </w:r>
      <w:r>
        <w:rPr>
          <w:color w:val="000000"/>
        </w:rPr>
        <w:t xml:space="preserve"> et al. (2020), values scores originally from </w:t>
      </w:r>
      <w:r>
        <w:t xml:space="preserve">Schwartz (2008). </w:t>
      </w:r>
    </w:p>
    <w:p w14:paraId="27BF1F85" w14:textId="77777777" w:rsidR="00783033" w:rsidRPr="001B1EEB" w:rsidRDefault="00783033" w:rsidP="0089153E">
      <w:pPr>
        <w:spacing w:after="0"/>
        <w:ind w:firstLine="720"/>
        <w:jc w:val="left"/>
      </w:pPr>
    </w:p>
    <w:p w14:paraId="219D00B2" w14:textId="77777777" w:rsidR="00BE43B8" w:rsidRDefault="00BE43B8" w:rsidP="00C66D5C">
      <w:pPr>
        <w:pStyle w:val="Heading1"/>
        <w:spacing w:before="0" w:after="0"/>
      </w:pPr>
      <w:r>
        <w:t>Discussion</w:t>
      </w:r>
    </w:p>
    <w:p w14:paraId="1F306FF4" w14:textId="77777777" w:rsidR="00BE43B8" w:rsidRDefault="00BE43B8" w:rsidP="009061F6">
      <w:pPr>
        <w:pStyle w:val="Heading3"/>
      </w:pPr>
      <w:r>
        <w:t>Reliability of the Independent (SHS) and Interdependent (IHS) Measures of Happiness</w:t>
      </w:r>
    </w:p>
    <w:p w14:paraId="606A445B" w14:textId="6F236EF8" w:rsidR="00546601" w:rsidRDefault="00462D02" w:rsidP="00C66D5C">
      <w:pPr>
        <w:spacing w:after="0"/>
        <w:ind w:firstLine="720"/>
        <w:jc w:val="left"/>
      </w:pPr>
      <w:r>
        <w:t>Multiple tests of measurement reliability revealed that</w:t>
      </w:r>
      <w:r w:rsidR="00992819">
        <w:t>,</w:t>
      </w:r>
      <w:r>
        <w:t xml:space="preserve"> a</w:t>
      </w:r>
      <w:r w:rsidR="00BE43B8">
        <w:t>s</w:t>
      </w:r>
      <w:r w:rsidR="0076575C">
        <w:t xml:space="preserve"> might be</w:t>
      </w:r>
      <w:r w:rsidR="00BE43B8">
        <w:t xml:space="preserve"> expected, the reliability of each measure of happiness was stronger in regions more culturally similar to the country of the measure’s origin. Specifically, the interdependent measure of happiness had the highest overall </w:t>
      </w:r>
      <w:r>
        <w:t>reliabilities</w:t>
      </w:r>
      <w:r w:rsidR="00BE43B8">
        <w:t xml:space="preserve"> in East Asian countries, while the independent measure of happiness had the highest </w:t>
      </w:r>
      <w:r>
        <w:t>reliabilities</w:t>
      </w:r>
      <w:r w:rsidR="00BE43B8">
        <w:t xml:space="preserve"> in Western Europe. Interestingly, the reliabilities of the two measures of happiness were </w:t>
      </w:r>
      <w:r w:rsidR="004C3B2B">
        <w:t xml:space="preserve">highly </w:t>
      </w:r>
      <w:r w:rsidR="00BE43B8">
        <w:t xml:space="preserve">similar between the United States and Japan, the two countries in which the SHS and IHS measure were developed, respectively. </w:t>
      </w:r>
      <w:r w:rsidR="002272E7">
        <w:t>As can be seen in Tables 2 and 3, t</w:t>
      </w:r>
      <w:r w:rsidR="00BE43B8">
        <w:t>he reliabilit</w:t>
      </w:r>
      <w:r>
        <w:t>ies</w:t>
      </w:r>
      <w:r w:rsidR="00BE43B8">
        <w:t xml:space="preserve"> of the measure of </w:t>
      </w:r>
      <w:r w:rsidR="002272E7">
        <w:t xml:space="preserve">independent </w:t>
      </w:r>
      <w:r w:rsidR="00BE43B8">
        <w:t xml:space="preserve">happiness </w:t>
      </w:r>
      <w:r>
        <w:t>were</w:t>
      </w:r>
      <w:r w:rsidR="00BE43B8">
        <w:t xml:space="preserve"> only slightly higher in the </w:t>
      </w:r>
      <w:r>
        <w:t xml:space="preserve">country of origin (the </w:t>
      </w:r>
      <w:r w:rsidR="00BE43B8">
        <w:t>United States</w:t>
      </w:r>
      <w:r>
        <w:t>)</w:t>
      </w:r>
      <w:r w:rsidR="00BE43B8">
        <w:t xml:space="preserve"> than in Japan. The same held true for Japan, where the </w:t>
      </w:r>
      <w:r>
        <w:t xml:space="preserve">reliabilities of the measures of </w:t>
      </w:r>
      <w:r w:rsidR="002272E7">
        <w:t xml:space="preserve">interdependent </w:t>
      </w:r>
      <w:r>
        <w:t xml:space="preserve">happiness were only slightly </w:t>
      </w:r>
      <w:r w:rsidR="002272E7">
        <w:t xml:space="preserve">higher </w:t>
      </w:r>
      <w:r>
        <w:t>than the reliabilities in the United States.</w:t>
      </w:r>
      <w:r w:rsidR="002272E7">
        <w:t xml:space="preserve"> In both countries</w:t>
      </w:r>
      <w:r w:rsidR="00546601">
        <w:t>,</w:t>
      </w:r>
      <w:r>
        <w:t xml:space="preserve"> the </w:t>
      </w:r>
      <w:r w:rsidR="002272E7">
        <w:t xml:space="preserve">reliabilities of the </w:t>
      </w:r>
      <w:r>
        <w:t xml:space="preserve">measure of </w:t>
      </w:r>
      <w:r w:rsidR="002272E7">
        <w:t xml:space="preserve">independent </w:t>
      </w:r>
      <w:r>
        <w:t>happin</w:t>
      </w:r>
      <w:r w:rsidR="002272E7">
        <w:t xml:space="preserve">ess </w:t>
      </w:r>
      <w:r>
        <w:t xml:space="preserve">were </w:t>
      </w:r>
      <w:r>
        <w:lastRenderedPageBreak/>
        <w:t xml:space="preserve">higher than the </w:t>
      </w:r>
      <w:r w:rsidR="002272E7">
        <w:t xml:space="preserve">reliabilities of the measure of </w:t>
      </w:r>
      <w:r>
        <w:t xml:space="preserve">interdependent happiness, although this difference was less pronounced in Japan. </w:t>
      </w:r>
      <w:r w:rsidR="00BE43B8">
        <w:t>While these subtle differences</w:t>
      </w:r>
      <w:r w:rsidR="00546601">
        <w:t xml:space="preserve"> between the United States and Japan</w:t>
      </w:r>
      <w:r w:rsidR="00BE43B8">
        <w:t xml:space="preserve"> still align with theoretical predictions</w:t>
      </w:r>
      <w:r w:rsidR="00546601">
        <w:t xml:space="preserve">, differences in the </w:t>
      </w:r>
      <w:r w:rsidR="002272E7">
        <w:t xml:space="preserve">reliabilities of the </w:t>
      </w:r>
      <w:r w:rsidR="00546601">
        <w:t xml:space="preserve">happiness measures become more </w:t>
      </w:r>
      <w:r w:rsidR="002272E7">
        <w:t>notable</w:t>
      </w:r>
      <w:r w:rsidR="00546601">
        <w:t xml:space="preserve"> when compared across the remaining 61 countries. For example, the </w:t>
      </w:r>
      <w:r w:rsidR="00FA4727">
        <w:t>interdependent measure of happiness</w:t>
      </w:r>
      <w:r w:rsidR="00546601">
        <w:t xml:space="preserve"> performed much better than the </w:t>
      </w:r>
      <w:r w:rsidR="00FA4727">
        <w:t xml:space="preserve">independent measure of happiness in South Asian countries and the Middle Eastern countries. </w:t>
      </w:r>
      <w:r w:rsidR="000D1383">
        <w:t xml:space="preserve">Additionally, the </w:t>
      </w:r>
      <w:r w:rsidR="00C517C2">
        <w:t>lowest</w:t>
      </w:r>
      <w:r w:rsidR="000D1383">
        <w:t xml:space="preserve"> reliabilities for both happiness measures were found in African countries, suggesting that </w:t>
      </w:r>
      <w:r w:rsidR="00110C77">
        <w:t>neither</w:t>
      </w:r>
      <w:r w:rsidR="000D1383">
        <w:t xml:space="preserve"> conceptualization of happiness </w:t>
      </w:r>
      <w:r w:rsidR="00110C77">
        <w:t>might be particularly well-</w:t>
      </w:r>
      <w:r w:rsidR="000D1383">
        <w:t xml:space="preserve">suited for those cultures. </w:t>
      </w:r>
    </w:p>
    <w:p w14:paraId="5E692037" w14:textId="3FCA99C5" w:rsidR="00BE43B8" w:rsidRDefault="00BE43B8" w:rsidP="00A86AAD">
      <w:pPr>
        <w:spacing w:after="0"/>
        <w:ind w:firstLine="720"/>
        <w:jc w:val="left"/>
      </w:pPr>
      <w:r>
        <w:t xml:space="preserve">Additionally, the ranges of </w:t>
      </w:r>
      <w:r w:rsidR="00683347">
        <w:t>reliabilities</w:t>
      </w:r>
      <w:r>
        <w:t xml:space="preserve"> across countries were different for the two happiness measures. The range of the</w:t>
      </w:r>
      <w:r w:rsidR="004C3517">
        <w:t xml:space="preserve"> reliabilities for the independent measure of happiness varied drastically</w:t>
      </w:r>
      <w:r w:rsidR="00A86AAD">
        <w:t xml:space="preserve"> while the range of reliabilities for the interdependent measure of happiness were much </w:t>
      </w:r>
      <w:r w:rsidR="006A22DD">
        <w:t>smaller</w:t>
      </w:r>
      <w:r w:rsidR="00A86AAD">
        <w:t>.</w:t>
      </w:r>
      <w:r w:rsidR="004C3517">
        <w:t xml:space="preserve"> This discrepancy </w:t>
      </w:r>
      <w:r w:rsidR="00110C77">
        <w:t xml:space="preserve">appeared </w:t>
      </w:r>
      <w:r w:rsidR="004C3517">
        <w:t>despite the comparable overall averages in reliabilities across countries</w:t>
      </w:r>
      <w:r w:rsidR="00ED1EFF">
        <w:t xml:space="preserve">, with the SHS performing slightly </w:t>
      </w:r>
      <w:r w:rsidR="00110C77">
        <w:t>better</w:t>
      </w:r>
      <w:r w:rsidR="00ED1EFF">
        <w:t xml:space="preserve"> than the IHS overall</w:t>
      </w:r>
      <w:r w:rsidR="004C3517">
        <w:t xml:space="preserve">. </w:t>
      </w:r>
      <w:r>
        <w:t xml:space="preserve">Thus, while the SHS has some of the highest </w:t>
      </w:r>
      <w:r w:rsidR="00ED1EFF">
        <w:t>reliabilities</w:t>
      </w:r>
      <w:r>
        <w:t xml:space="preserve"> in certain countries (generally WEIRD ones), it also had some of the lowest </w:t>
      </w:r>
      <w:r w:rsidR="00ED1EFF">
        <w:t>reliabilities</w:t>
      </w:r>
      <w:r>
        <w:t xml:space="preserve"> in </w:t>
      </w:r>
      <w:r w:rsidR="00E301F5">
        <w:t>other</w:t>
      </w:r>
      <w:r>
        <w:t xml:space="preserve"> countries (generally non-WEIRD ones), while the </w:t>
      </w:r>
      <w:r w:rsidR="00ED1EFF">
        <w:t>reliabilities of the IHS</w:t>
      </w:r>
      <w:r>
        <w:t xml:space="preserve"> </w:t>
      </w:r>
      <w:r w:rsidR="00ED1EFF">
        <w:t>varied less</w:t>
      </w:r>
      <w:r w:rsidR="00E301F5">
        <w:t>.</w:t>
      </w:r>
      <w:r>
        <w:t xml:space="preserve"> Higher reliabilities of measures are generally considered better; however, for cross-cultural researchers interested in comparing measures across countries, the equivalence of a measure’s reliability maybe more important than its size, as variations in reliability can artificially inflate or deflate </w:t>
      </w:r>
      <w:r w:rsidR="00110C77">
        <w:t xml:space="preserve">comparisons </w:t>
      </w:r>
      <w:r>
        <w:t>between countries (Chen, 2008). Thus, despite the slightly lower</w:t>
      </w:r>
      <w:r w:rsidR="0056789F">
        <w:t xml:space="preserve"> overall reliability of the IHS than the SHS, </w:t>
      </w:r>
      <w:r w:rsidR="00110C77">
        <w:t xml:space="preserve">we believe that in most cases </w:t>
      </w:r>
      <w:r>
        <w:t xml:space="preserve">the IHS would still be a better cross-cultural instrument.     </w:t>
      </w:r>
    </w:p>
    <w:p w14:paraId="0205D54F" w14:textId="388399D9" w:rsidR="00BE43B8" w:rsidRDefault="007D27FE" w:rsidP="00C66D5C">
      <w:pPr>
        <w:spacing w:after="0"/>
        <w:ind w:firstLine="720"/>
        <w:jc w:val="left"/>
      </w:pPr>
      <w:r>
        <w:t>The reliability of a measure</w:t>
      </w:r>
      <w:r w:rsidR="00BE43B8">
        <w:t xml:space="preserve"> </w:t>
      </w:r>
      <w:r>
        <w:t>is</w:t>
      </w:r>
      <w:r w:rsidR="00BE43B8">
        <w:t xml:space="preserve"> also a way </w:t>
      </w:r>
      <w:r w:rsidR="006A22DD">
        <w:t xml:space="preserve">to assess </w:t>
      </w:r>
      <w:r w:rsidR="00110C77">
        <w:t xml:space="preserve">its </w:t>
      </w:r>
      <w:r w:rsidR="00BE43B8">
        <w:t xml:space="preserve">coherence or “schema” in a particular culture. </w:t>
      </w:r>
      <w:r>
        <w:t>Higher reliabilities</w:t>
      </w:r>
      <w:r w:rsidR="00BE43B8">
        <w:t xml:space="preserve"> mean participants are responding to each item on the scale </w:t>
      </w:r>
      <w:r w:rsidR="00BE43B8">
        <w:lastRenderedPageBreak/>
        <w:t xml:space="preserve">in a manner consistent with the putatively underlying latent trait, in this case happiness. A lower </w:t>
      </w:r>
      <w:r>
        <w:t>reliability</w:t>
      </w:r>
      <w:r w:rsidR="00BE43B8">
        <w:t xml:space="preserve"> suggests that the latent concept or structure of happiness is not as strong or coherent for that group, or that the items are assessing multiple aspects of happiness that do not map equally well onto the underlying construct. Treating </w:t>
      </w:r>
      <w:r>
        <w:t>reliabilities</w:t>
      </w:r>
      <w:r w:rsidR="00BE43B8">
        <w:t xml:space="preserve"> as an assessment of a construct’s coherence means that we can seek to predict the overall coherence of a measure across countries using other country-level data. It also suggests that it might be a mistake to “correct” the SHS for attenuation within countries where it has low reliability, since</w:t>
      </w:r>
      <w:r w:rsidR="0009571F">
        <w:t xml:space="preserve"> this</w:t>
      </w:r>
      <w:r w:rsidR="00BE43B8">
        <w:t xml:space="preserve"> may indicate that the SHS is a less appropriate measure in those countries and any corrections would only mask th</w:t>
      </w:r>
      <w:r w:rsidR="00110C77">
        <w:t>at fact</w:t>
      </w:r>
      <w:r w:rsidR="00BE43B8">
        <w:t>.</w:t>
      </w:r>
    </w:p>
    <w:p w14:paraId="34D4E21C" w14:textId="383CAB28" w:rsidR="00BE43B8" w:rsidRDefault="00BE43B8" w:rsidP="00C66D5C">
      <w:pPr>
        <w:spacing w:after="0"/>
        <w:ind w:firstLine="720"/>
        <w:jc w:val="left"/>
      </w:pPr>
      <w:r>
        <w:t>The reliability of the SHS was related to many country</w:t>
      </w:r>
      <w:r w:rsidR="006A22DD">
        <w:t>-</w:t>
      </w:r>
      <w:r>
        <w:t xml:space="preserve">level variables, including economic development and a country’s “WEIRDness.” Specifically, coherence of the independent happiness measure was stronger in countries with higher development, less population growth, and in colder climates. Additionally, several cultural values were related to the </w:t>
      </w:r>
      <w:r w:rsidR="00CB1E03">
        <w:t>reliabilities, or coherence,</w:t>
      </w:r>
      <w:r>
        <w:t xml:space="preserve"> of the SHS. Greater coherence of the independent happiness measure was stronger in countries that</w:t>
      </w:r>
      <w:r w:rsidR="00786ED4">
        <w:t xml:space="preserve"> value autonomy, both affective </w:t>
      </w:r>
      <w:r>
        <w:t xml:space="preserve">and intellectual. These countries value each individual’s uniqueness and, particularly for affective autonomy, “encourage individuals to pursue affectively positive experience for themselves” (Schwartz, 2007). </w:t>
      </w:r>
      <w:r w:rsidR="005B3E16">
        <w:t>Additionally, the reliabilities for the SHS were lower in countries that value embeddedness</w:t>
      </w:r>
      <w:r w:rsidR="009579E3">
        <w:t xml:space="preserve"> with others</w:t>
      </w:r>
      <w:r w:rsidR="005B3E16">
        <w:t xml:space="preserve">, </w:t>
      </w:r>
      <w:r w:rsidR="009579E3">
        <w:t xml:space="preserve">suggesting less interdependence in general as well as for defining one’s happiness. </w:t>
      </w:r>
      <w:r>
        <w:t xml:space="preserve">Thus, it appears that the concept of independent happiness is more coherent in the more developed, autonomous, WEIRD countries. </w:t>
      </w:r>
    </w:p>
    <w:p w14:paraId="65F31EAB" w14:textId="101EFE9C" w:rsidR="00BE43B8" w:rsidRDefault="00BE43B8" w:rsidP="00C66D5C">
      <w:pPr>
        <w:spacing w:after="0"/>
        <w:ind w:firstLine="720"/>
        <w:jc w:val="left"/>
      </w:pPr>
      <w:r>
        <w:t xml:space="preserve">For interdependent happiness, there were far fewer country-level correlates with </w:t>
      </w:r>
      <w:r w:rsidR="00FB6500">
        <w:t>the reliabilities</w:t>
      </w:r>
      <w:r>
        <w:t xml:space="preserve">. However, given the more limited range of </w:t>
      </w:r>
      <w:r w:rsidR="00FB6500">
        <w:t>reliabilities</w:t>
      </w:r>
      <w:r>
        <w:t xml:space="preserve"> compared to the SHS </w:t>
      </w:r>
      <w:r w:rsidR="00FB6500">
        <w:t xml:space="preserve">reliabilities </w:t>
      </w:r>
      <w:r>
        <w:t xml:space="preserve">as previously </w:t>
      </w:r>
      <w:r w:rsidR="00FB6500">
        <w:t>discussed</w:t>
      </w:r>
      <w:r>
        <w:t xml:space="preserve">, it is perhaps unsurprising that we were not able to find as </w:t>
      </w:r>
      <w:r>
        <w:lastRenderedPageBreak/>
        <w:t xml:space="preserve">many country level predictors. The IHS </w:t>
      </w:r>
      <w:r w:rsidR="00FB6500">
        <w:t>reliabilities were</w:t>
      </w:r>
      <w:r>
        <w:t xml:space="preserve"> weakly related to a country’s economic development and higher in countries that value mastery over harmony. Interestingly, the reliability of the interdependent happiness measure was completely unrelated to a country’s “WEIRDness.” Thus, interdependent happiness may not be a WEIRD (or even non-WEIRD) construct; but rather </w:t>
      </w:r>
      <w:r w:rsidR="00110C77">
        <w:t xml:space="preserve">be </w:t>
      </w:r>
      <w:r>
        <w:t>more uniformly meaningful across all countries</w:t>
      </w:r>
      <w:r w:rsidR="00FB6500">
        <w:t>. I</w:t>
      </w:r>
      <w:r>
        <w:t>n that sense IHS may be a more “universal” measure of happiness than the SHS. This finding is consistent with previous work on cross-cultural differences in conceptual definitions of happiness. Delle Fave and colleagues (2016) found that the most universal definition of happiness across 12 countries was harmony, a concept more commonly associated with the East Asian view on happiness, rather than the West</w:t>
      </w:r>
      <w:r w:rsidR="001C57D1">
        <w:t>ern view</w:t>
      </w:r>
      <w:r>
        <w:t>. Thus</w:t>
      </w:r>
      <w:r w:rsidR="00E301F5">
        <w:t>,</w:t>
      </w:r>
      <w:r>
        <w:t xml:space="preserve"> these universal lay definitions of happiness may explain why the IHS, developed in East Asia, performed more consistently across cultures than the SHS. </w:t>
      </w:r>
    </w:p>
    <w:p w14:paraId="1C888B3E" w14:textId="071D0906" w:rsidR="00BE43B8" w:rsidRDefault="00BE43B8" w:rsidP="009061F6">
      <w:pPr>
        <w:pStyle w:val="Heading3"/>
      </w:pPr>
      <w:r>
        <w:t xml:space="preserve">Conceptual </w:t>
      </w:r>
      <w:r w:rsidR="00227C8D">
        <w:t>O</w:t>
      </w:r>
      <w:r>
        <w:t xml:space="preserve">verlap </w:t>
      </w:r>
      <w:r w:rsidR="00227C8D">
        <w:t>B</w:t>
      </w:r>
      <w:r>
        <w:t xml:space="preserve">etween </w:t>
      </w:r>
      <w:r w:rsidR="00227C8D">
        <w:t>I</w:t>
      </w:r>
      <w:r>
        <w:t xml:space="preserve">ndependent (SHS) and </w:t>
      </w:r>
      <w:r w:rsidR="00227C8D">
        <w:t>I</w:t>
      </w:r>
      <w:r>
        <w:t xml:space="preserve">nterdependent (IHS) </w:t>
      </w:r>
      <w:r w:rsidR="00227C8D">
        <w:t>H</w:t>
      </w:r>
      <w:r>
        <w:t>appiness</w:t>
      </w:r>
    </w:p>
    <w:p w14:paraId="0B0B9185" w14:textId="3EDACCC5" w:rsidR="00406421" w:rsidRDefault="00873596" w:rsidP="00D95DCA">
      <w:pPr>
        <w:spacing w:after="0"/>
        <w:ind w:firstLine="720"/>
        <w:jc w:val="left"/>
      </w:pPr>
      <w:r>
        <w:t>Further analyses attempted to assess the degree of similarity between the two measures.</w:t>
      </w:r>
      <w:r w:rsidR="00BE43B8">
        <w:t xml:space="preserve"> </w:t>
      </w:r>
      <w:r w:rsidR="00F169A8">
        <w:t xml:space="preserve">Overall, </w:t>
      </w:r>
      <w:r w:rsidR="00AE57AF">
        <w:t>the two measures of happiness were positively related to each other in every country assessed, however the strength of this relationship still varied cross-culturally. I</w:t>
      </w:r>
      <w:r w:rsidR="00F169A8">
        <w:t xml:space="preserve">ndividuals were more likely to associate these two measures of happiness in “WEIRDer” countries, </w:t>
      </w:r>
      <w:r w:rsidR="006A22DD">
        <w:t xml:space="preserve">i.e., </w:t>
      </w:r>
      <w:r w:rsidR="00F169A8">
        <w:t xml:space="preserve">those most similar to the United States. </w:t>
      </w:r>
      <w:r w:rsidR="00406421">
        <w:t>Additionally, t</w:t>
      </w:r>
      <w:r w:rsidR="00BE43B8">
        <w:t xml:space="preserve">he relationship between </w:t>
      </w:r>
      <w:r w:rsidR="00406421">
        <w:t xml:space="preserve">the </w:t>
      </w:r>
      <w:r w:rsidR="00BE43B8">
        <w:t xml:space="preserve">two happiness measures was stronger in countries with more development, less population growth, </w:t>
      </w:r>
      <w:r w:rsidR="00D95DCA">
        <w:t xml:space="preserve">and where people value more autonomy and less interdependence with others. </w:t>
      </w:r>
      <w:r w:rsidR="00406421">
        <w:t>These correlations are consistent with regional averages found in the data. Specifically, the strongest correlations between the two happiness measures were in European countries while somewhat lower in East Asian and Latin American countries. Interestingly, the lowest correlations between the happiness measures were found in Africa. Given that the African countries also had the</w:t>
      </w:r>
      <w:r w:rsidR="00110C77">
        <w:t xml:space="preserve"> lowest</w:t>
      </w:r>
      <w:r w:rsidR="00406421">
        <w:t xml:space="preserve"> reliabilities </w:t>
      </w:r>
      <w:r w:rsidR="00406421">
        <w:lastRenderedPageBreak/>
        <w:t xml:space="preserve">for both happiness measures this suggests that the two measures may not only be more conceptually distinct in Africa but that neither measure may be </w:t>
      </w:r>
      <w:r w:rsidR="00110C77">
        <w:t xml:space="preserve">fully </w:t>
      </w:r>
      <w:r w:rsidR="00D95DCA">
        <w:t>appropriate</w:t>
      </w:r>
      <w:r w:rsidR="00406421">
        <w:t xml:space="preserve"> for assessing happiness in that </w:t>
      </w:r>
      <w:r w:rsidR="00D95DCA">
        <w:t>cultural</w:t>
      </w:r>
      <w:r w:rsidR="00406421">
        <w:t xml:space="preserve"> context. </w:t>
      </w:r>
    </w:p>
    <w:p w14:paraId="2427033C" w14:textId="0698A4AD" w:rsidR="00BE43B8" w:rsidRDefault="00BE43B8" w:rsidP="00C66D5C">
      <w:pPr>
        <w:spacing w:after="0"/>
        <w:ind w:firstLine="720"/>
        <w:jc w:val="left"/>
      </w:pPr>
      <w:r>
        <w:t xml:space="preserve">The two measures of happiness tested </w:t>
      </w:r>
      <w:r w:rsidR="00110C77">
        <w:t>in this article</w:t>
      </w:r>
      <w:r>
        <w:t xml:space="preserve"> originated from cultures with distinct historical roots and religious traditions (Uchida, Norasakkaukit, &amp; Kitayama, 2004). The West has historically been influenced by a </w:t>
      </w:r>
      <w:r w:rsidR="0046669B">
        <w:t xml:space="preserve">self-centered </w:t>
      </w:r>
      <w:r>
        <w:t>Protestant work ethic that defines happiness as a personal achievement and individuals as distinct</w:t>
      </w:r>
      <w:r w:rsidR="006A22DD">
        <w:t xml:space="preserve">, </w:t>
      </w:r>
      <w:r>
        <w:t>independent</w:t>
      </w:r>
      <w:r w:rsidR="006A22DD">
        <w:t>, and</w:t>
      </w:r>
      <w:r w:rsidR="00AE6BA2">
        <w:t xml:space="preserve"> </w:t>
      </w:r>
      <w:r>
        <w:t xml:space="preserve">responsible for their own fate. In contrast, the Eastern ideologies of Buddhism, Taoism, and Confucianism emphasize the interconnectedness of everyone and everything, prioritizing harmony and balance </w:t>
      </w:r>
      <w:r w:rsidR="006A22DD">
        <w:t xml:space="preserve">over individual </w:t>
      </w:r>
      <w:r w:rsidR="0041237E">
        <w:t>achievement</w:t>
      </w:r>
      <w:r w:rsidR="006A22DD">
        <w:t xml:space="preserve"> </w:t>
      </w:r>
      <w:r>
        <w:t xml:space="preserve">(Uchida, Norasakkaukit, &amp; Kitayama, 2004). Thus, it is perhaps unsurprising that both the American and Japanese measures of happiness performed worse in the regions lacking either Christian Protestant or Buddhist traditions (e.g., Africa and the Middle East) while generalizing </w:t>
      </w:r>
      <w:r w:rsidR="00110C77">
        <w:t xml:space="preserve">better </w:t>
      </w:r>
      <w:r>
        <w:t>to Latin America, Europe, and the rest of Eastern Asia. The lower performance of both happiness measures in Africa and the Middle East further highlights the need for cross-cultural research to expand beyond the traditional East vs. West dichotomy</w:t>
      </w:r>
      <w:r w:rsidR="00110C77">
        <w:t xml:space="preserve"> (often limited even further to comparisons between Japan and the US)</w:t>
      </w:r>
      <w:r>
        <w:t>. While it seems clear that the two measures of happiness presented here miss</w:t>
      </w:r>
      <w:r w:rsidR="00110C77">
        <w:t xml:space="preserve"> </w:t>
      </w:r>
      <w:r>
        <w:t xml:space="preserve">some aspect crucial to the cultures outside of the Eastern and Western contexts in which the measures were developed, it is less clear what these aspects are. </w:t>
      </w:r>
      <w:r w:rsidR="00110C77">
        <w:t>To fill t</w:t>
      </w:r>
      <w:r>
        <w:t xml:space="preserve">his gap in the literature remains an important next step for researchers interested in developing a universal measure of happiness. </w:t>
      </w:r>
    </w:p>
    <w:p w14:paraId="07B3DBAF" w14:textId="77777777" w:rsidR="00BE43B8" w:rsidRDefault="00BE43B8" w:rsidP="00C66D5C">
      <w:pPr>
        <w:pStyle w:val="Heading2"/>
        <w:spacing w:after="0"/>
        <w:jc w:val="both"/>
      </w:pPr>
      <w:r>
        <w:t>Limitations and Future Directions</w:t>
      </w:r>
    </w:p>
    <w:p w14:paraId="19FF759C" w14:textId="4CF87704" w:rsidR="00BE43B8" w:rsidRDefault="00BE43B8" w:rsidP="00C66D5C">
      <w:pPr>
        <w:spacing w:after="0"/>
        <w:ind w:firstLine="810"/>
        <w:jc w:val="left"/>
      </w:pPr>
      <w:r>
        <w:t xml:space="preserve">The current study used country as a proxy for culture; however, country boundaries do not always correspond to cultural boundaries. Indeed, cultural boundaries are often extremely </w:t>
      </w:r>
      <w:r>
        <w:lastRenderedPageBreak/>
        <w:t xml:space="preserve">difficult to define, as numerous subcultures may exist within dominant cultures (Taras &amp; Steel, 2009). Thus, many researchers simplify or bypass the cultural definition problem by using country as the grouping variable. While using country as a proxy for culture far from a perfect solution, it does allow researchers to more easily compare results across studies. Additionally, it allows researchers to use country-level data, such as </w:t>
      </w:r>
      <w:r w:rsidR="008F00BD">
        <w:t>HDI</w:t>
      </w:r>
      <w:r>
        <w:t xml:space="preserve">, as predictors of individual level outcomes. This method is also of particular relevance to national governments interested in the well-being of their citizens. </w:t>
      </w:r>
    </w:p>
    <w:p w14:paraId="784F9B83" w14:textId="10C2FE9C" w:rsidR="00BE43B8" w:rsidRDefault="00BE43B8" w:rsidP="00C66D5C">
      <w:pPr>
        <w:spacing w:after="0"/>
        <w:ind w:firstLine="810"/>
        <w:jc w:val="left"/>
      </w:pPr>
      <w:r>
        <w:t xml:space="preserve">Another potential limitation of the present study is the use of </w:t>
      </w:r>
      <w:r w:rsidR="00110C77">
        <w:t xml:space="preserve">members of </w:t>
      </w:r>
      <w:r>
        <w:t xml:space="preserve">college </w:t>
      </w:r>
      <w:r w:rsidR="00110C77">
        <w:t>communities</w:t>
      </w:r>
      <w:r>
        <w:t xml:space="preserve"> as the primary source of participants. While data from non-college </w:t>
      </w:r>
      <w:r w:rsidR="000C0EA4">
        <w:t>participants</w:t>
      </w:r>
      <w:r>
        <w:t xml:space="preserve"> were also collected in a handful of countries, they were excluded from the present analyses to match the samples across countries and avoid confounding the results </w:t>
      </w:r>
      <w:r w:rsidRPr="000B2F7B">
        <w:t>(Schwartz, 2014)</w:t>
      </w:r>
      <w:r>
        <w:t>.</w:t>
      </w:r>
      <w:r w:rsidR="00F174F3">
        <w:t xml:space="preserve"> B</w:t>
      </w:r>
      <w:r>
        <w:t>ecause</w:t>
      </w:r>
      <w:r w:rsidR="00F174F3">
        <w:t xml:space="preserve"> the vast majority of psychological</w:t>
      </w:r>
      <w:r>
        <w:t xml:space="preserve"> studies use student participants</w:t>
      </w:r>
      <w:r w:rsidR="00CA44E6">
        <w:rPr>
          <w:vertAlign w:val="superscript"/>
        </w:rPr>
        <w:t xml:space="preserve"> </w:t>
      </w:r>
      <w:r w:rsidR="00CA44E6">
        <w:rPr>
          <w:vertAlign w:val="superscript"/>
        </w:rPr>
        <w:fldChar w:fldCharType="begin" w:fldLock="1"/>
      </w:r>
      <w:r w:rsidR="00A473EE">
        <w:rPr>
          <w:vertAlign w:val="superscript"/>
        </w:rPr>
        <w:instrText>ADDIN CSL_CITATION {"citationItems":[{"id":"ITEM-1","itemData":{"author":[{"dropping-particle":"","family":"Li","given":"Jun","non-dropping-particle":"","parse-names":false,"suffix":""},{"dropping-particle":"","family":"Yuk Kim","given":"Choong","non-dropping-particle":"","parse-names":false,"suffix":""},{"dropping-particle":"","family":"Karp","given":"Sophie R.","non-dropping-particle":"","parse-names":false,"suffix":""},{"dropping-particle":"","family":"Takooshian","given":"Harold","non-dropping-particle":"","parse-names":false,"suffix":""}],"container-title":"International Psychology Bulletin","id":"ITEM-1","issue":"4","issued":{"date-parts":[["2012"]]},"title":"A Data-Based Profile of U.S. Social Psychology Journals: 25 Years Later Jun","type":"article-journal","volume":"16"},"uris":["http://www.mendeley.com/documents/?uuid=7ae692ce-ae28-4187-8384-38d161e05785"]}],"mendeley":{"formattedCitation":"(Li, Yuk Kim, Karp, &amp; Takooshian, 2012)","plainTextFormattedCitation":"(Li, Yuk Kim, Karp, &amp; Takooshian, 2012)","previouslyFormattedCitation":"(Li, Yuk Kim, Karp, &amp; Takooshian, 2012)"},"properties":{"noteIndex":0},"schema":"https://github.com/citation-style-language/schema/raw/master/csl-citation.json"}</w:instrText>
      </w:r>
      <w:r w:rsidR="00CA44E6">
        <w:rPr>
          <w:vertAlign w:val="superscript"/>
        </w:rPr>
        <w:fldChar w:fldCharType="separate"/>
      </w:r>
      <w:r w:rsidR="00CA44E6" w:rsidRPr="00CA44E6">
        <w:rPr>
          <w:noProof/>
        </w:rPr>
        <w:t>(Li, Yuk Kim, Karp, &amp; Takooshian, 2012)</w:t>
      </w:r>
      <w:r w:rsidR="00CA44E6">
        <w:rPr>
          <w:vertAlign w:val="superscript"/>
        </w:rPr>
        <w:fldChar w:fldCharType="end"/>
      </w:r>
      <w:r>
        <w:t xml:space="preserve">, the results of this study are directly relevant to </w:t>
      </w:r>
      <w:r w:rsidR="00110725">
        <w:t xml:space="preserve">most </w:t>
      </w:r>
      <w:r>
        <w:t xml:space="preserve">research on happiness elsewhere in the literature. For example, the seven cultural dimensions used in the subjective country level correlations presented here were originally developed using college student and teacher samples (Schwartz, 2006), making the results directly </w:t>
      </w:r>
      <w:r w:rsidR="00110725">
        <w:t>comparable to those from</w:t>
      </w:r>
      <w:r>
        <w:t xml:space="preserve"> the current study’s sample. Additionally, since the present analyses are not intended to address the mean level of well-being across nations, but rather how coherent the construct is in each culture, there is less reason to assume college students will differ drastically from the rest of the population (Flere &amp;</w:t>
      </w:r>
      <w:r w:rsidR="00A473EE" w:rsidRPr="00A473EE">
        <w:rPr>
          <w:color w:val="000000"/>
        </w:rPr>
        <w:t xml:space="preserve"> </w:t>
      </w:r>
      <w:r w:rsidR="00A473EE" w:rsidRPr="00B07231">
        <w:rPr>
          <w:color w:val="000000"/>
        </w:rPr>
        <w:t>Lavrič</w:t>
      </w:r>
      <w:r>
        <w:t xml:space="preserve">, 2008). If anything, college students should be “WEIRDer” than other people in their countries because they are more ‘E’ducated and often ‘R’icher. Thus, any differences that are found </w:t>
      </w:r>
      <w:r w:rsidR="008F00BD">
        <w:t xml:space="preserve">among countries </w:t>
      </w:r>
      <w:r>
        <w:t xml:space="preserve">are even more notable. </w:t>
      </w:r>
    </w:p>
    <w:p w14:paraId="23AE6AB5" w14:textId="6811EF5C" w:rsidR="0053767A" w:rsidRDefault="0053767A" w:rsidP="00C66D5C">
      <w:pPr>
        <w:spacing w:after="0"/>
        <w:ind w:firstLine="810"/>
        <w:jc w:val="left"/>
      </w:pPr>
      <w:r>
        <w:lastRenderedPageBreak/>
        <w:t xml:space="preserve">Lastly, the results from this study represent only a first step in the assessment of cross-cultural differences in happiness. While the evidence suggests that the interdependent measure of happiness is more consistently reliable across countries than the independent measure, the next step would be to establish how these differences in reliability translate into mean level differences and predictors of happiness across countries. </w:t>
      </w:r>
      <w:r w:rsidR="007F77BD">
        <w:t xml:space="preserve">However, we believe establishing the reliability of the measures across cultures represents an important first step for the broader goal of comparing happiness around the world. </w:t>
      </w:r>
    </w:p>
    <w:p w14:paraId="3028DE7E" w14:textId="77777777" w:rsidR="00BE43B8" w:rsidRDefault="00BE43B8" w:rsidP="00C66D5C">
      <w:pPr>
        <w:spacing w:after="0"/>
        <w:jc w:val="left"/>
        <w:rPr>
          <w:b/>
        </w:rPr>
      </w:pPr>
      <w:r>
        <w:rPr>
          <w:b/>
        </w:rPr>
        <w:t>Conclusion</w:t>
      </w:r>
    </w:p>
    <w:p w14:paraId="47BD48FA" w14:textId="018CEAA6" w:rsidR="00BE43B8" w:rsidRDefault="00BE43B8" w:rsidP="000A060E">
      <w:pPr>
        <w:spacing w:after="0"/>
        <w:ind w:firstLine="720"/>
        <w:jc w:val="left"/>
      </w:pPr>
      <w:r>
        <w:t>In many ways, the two happiness measures performed surprisingly similarly across countries, despite their conceptual and theoretical differences and different national origins. Around the world, individuals who were more likely to report being independently happy were also more likely to report being interdependently happy. However, methodological differences between the two measures still have important implications for the future study of happiness across cultures. Specifically, the reliability of the Interdependent Happiness Scale (IHS) performed more consistently across countries than the Subjective Happiness Scale (SHS). Additionally, the reliability of the IHS was less dependent upon country</w:t>
      </w:r>
      <w:r w:rsidR="002E26FB">
        <w:t>-</w:t>
      </w:r>
      <w:r>
        <w:t xml:space="preserve">level factors, such as the economic development of a country, in that sense making it a less “WEIRD” measure. Thus, cross-cultural researchers interested in incorporating a more universal measure of happiness should consider the Interdependent Happiness Scale as a useful tool for cross-cultural comparisons. </w:t>
      </w:r>
      <w:r w:rsidR="000A060E">
        <w:t>Additionally, t</w:t>
      </w:r>
      <w:r>
        <w:t xml:space="preserve">he weaker performances of </w:t>
      </w:r>
      <w:r w:rsidR="000A060E">
        <w:t xml:space="preserve">both </w:t>
      </w:r>
      <w:r>
        <w:t>happiness measures in the Middle East and Africa point to the need for more research to expand beyond the traditional East vs. West dichotomy. Thus, while currently the IHS seems to be a better cross-cultural instrument than the SHS, future research should explore other emic</w:t>
      </w:r>
      <w:r w:rsidR="000A060E">
        <w:t xml:space="preserve"> measures of</w:t>
      </w:r>
      <w:r>
        <w:t xml:space="preserve"> happiness developed in the </w:t>
      </w:r>
      <w:r>
        <w:lastRenderedPageBreak/>
        <w:t xml:space="preserve">Middle East and Africa that can provide a more universal and comprehensive definition of happiness. </w:t>
      </w:r>
    </w:p>
    <w:p w14:paraId="43A5786F" w14:textId="5182D028" w:rsidR="00BE43B8" w:rsidRPr="00511DEB" w:rsidRDefault="00BE43B8" w:rsidP="00C66D5C">
      <w:pPr>
        <w:spacing w:after="0"/>
        <w:ind w:firstLine="720"/>
        <w:jc w:val="left"/>
        <w:sectPr w:rsidR="00BE43B8" w:rsidRPr="00511DEB" w:rsidSect="00A86A49">
          <w:pgSz w:w="12240" w:h="15840"/>
          <w:pgMar w:top="1440" w:right="1440" w:bottom="1440" w:left="1440" w:header="720" w:footer="720" w:gutter="0"/>
          <w:lnNumType w:countBy="1" w:restart="continuous"/>
          <w:cols w:space="720" w:equalWidth="0">
            <w:col w:w="9360"/>
          </w:cols>
          <w:titlePg/>
          <w:docGrid w:linePitch="326"/>
        </w:sectPr>
      </w:pPr>
      <w:r>
        <w:t>What does it mean to be happy? The answer, the present study shows, indeed depends to an important degree on where you live</w:t>
      </w:r>
      <w:r w:rsidR="007E764F">
        <w:t>.</w:t>
      </w:r>
    </w:p>
    <w:p w14:paraId="0CB2C5AF" w14:textId="77777777" w:rsidR="003E4D27" w:rsidRDefault="003E4D27" w:rsidP="003E4D27">
      <w:pPr>
        <w:spacing w:line="259" w:lineRule="auto"/>
        <w:rPr>
          <w:b/>
          <w:bCs/>
        </w:rPr>
      </w:pPr>
      <w:r w:rsidRPr="00B3078B">
        <w:rPr>
          <w:b/>
          <w:bCs/>
        </w:rPr>
        <w:lastRenderedPageBreak/>
        <w:t>Acknowledgments</w:t>
      </w:r>
      <w:r>
        <w:rPr>
          <w:b/>
          <w:bCs/>
        </w:rPr>
        <w:t xml:space="preserve"> </w:t>
      </w:r>
    </w:p>
    <w:p w14:paraId="4616DF84" w14:textId="77777777" w:rsidR="003E4D27" w:rsidRDefault="003E4D27" w:rsidP="003E4D27">
      <w:pPr>
        <w:spacing w:line="259" w:lineRule="auto"/>
        <w:jc w:val="left"/>
        <w:rPr>
          <w:b/>
          <w:bCs/>
        </w:rPr>
      </w:pPr>
      <w:r>
        <w:t>Members of the International Situations Project</w:t>
      </w:r>
      <w:r>
        <w:rPr>
          <w:b/>
          <w:bCs/>
        </w:rPr>
        <w:t xml:space="preserve">: </w:t>
      </w:r>
    </w:p>
    <w:p w14:paraId="7689AE01" w14:textId="77777777" w:rsidR="003E4D27" w:rsidRPr="003E4D27" w:rsidRDefault="003E4D27" w:rsidP="003E4D27">
      <w:pPr>
        <w:spacing w:after="0" w:line="240" w:lineRule="auto"/>
        <w:jc w:val="left"/>
        <w:rPr>
          <w:lang w:val="es-ES"/>
        </w:rPr>
      </w:pPr>
      <w:r w:rsidRPr="003E4D27">
        <w:rPr>
          <w:lang w:val="es-ES"/>
        </w:rPr>
        <w:t>Argentina: Maite Beramendi, Universidad de Buenos Aires</w:t>
      </w:r>
    </w:p>
    <w:p w14:paraId="1AE56183" w14:textId="77777777" w:rsidR="003E4D27" w:rsidRPr="003E4D27" w:rsidRDefault="003E4D27" w:rsidP="003E4D27">
      <w:pPr>
        <w:spacing w:after="0" w:line="240" w:lineRule="auto"/>
        <w:jc w:val="left"/>
      </w:pPr>
      <w:r w:rsidRPr="003E4D27">
        <w:t>Australia: Brock Bastian, University of Melbourne</w:t>
      </w:r>
    </w:p>
    <w:p w14:paraId="6CDAAFE2" w14:textId="77777777" w:rsidR="003E4D27" w:rsidRPr="003E4D27" w:rsidRDefault="003E4D27" w:rsidP="003E4D27">
      <w:pPr>
        <w:spacing w:after="0" w:line="240" w:lineRule="auto"/>
        <w:jc w:val="left"/>
      </w:pPr>
      <w:r w:rsidRPr="003E4D27">
        <w:t>Austria: Aljoscha Neubauer, University of Graz</w:t>
      </w:r>
    </w:p>
    <w:p w14:paraId="1C9A7461" w14:textId="77777777" w:rsidR="003E4D27" w:rsidRPr="003E4D27" w:rsidRDefault="003E4D27" w:rsidP="003E4D27">
      <w:pPr>
        <w:spacing w:after="0" w:line="240" w:lineRule="auto"/>
        <w:jc w:val="left"/>
      </w:pPr>
      <w:r w:rsidRPr="003E4D27">
        <w:t>Belgium: Filip De Fruyt, Ghent University</w:t>
      </w:r>
    </w:p>
    <w:p w14:paraId="6C6F69B4" w14:textId="77777777" w:rsidR="003E4D27" w:rsidRPr="003E4D27" w:rsidRDefault="003E4D27" w:rsidP="003E4D27">
      <w:pPr>
        <w:spacing w:after="0" w:line="240" w:lineRule="auto"/>
        <w:jc w:val="left"/>
        <w:rPr>
          <w:lang w:val="es-ES"/>
        </w:rPr>
      </w:pPr>
      <w:r w:rsidRPr="003E4D27">
        <w:rPr>
          <w:lang w:val="es-ES"/>
        </w:rPr>
        <w:t>Bolivia: Diego Cortez, Universidad Católica Bolviana, La Paz</w:t>
      </w:r>
    </w:p>
    <w:p w14:paraId="09370EA3" w14:textId="77777777" w:rsidR="003E4D27" w:rsidRPr="003E4D27" w:rsidRDefault="003E4D27" w:rsidP="003E4D27">
      <w:pPr>
        <w:spacing w:after="0" w:line="240" w:lineRule="auto"/>
        <w:jc w:val="left"/>
        <w:rPr>
          <w:lang w:val="es-ES"/>
        </w:rPr>
      </w:pPr>
      <w:r w:rsidRPr="003E4D27">
        <w:rPr>
          <w:lang w:val="es-ES"/>
        </w:rPr>
        <w:t>Bolivia: Eric Roth, Universidad Católica Bolviana, La Paz</w:t>
      </w:r>
    </w:p>
    <w:p w14:paraId="20393A97" w14:textId="77777777" w:rsidR="003E4D27" w:rsidRPr="003E4D27" w:rsidRDefault="003E4D27" w:rsidP="003E4D27">
      <w:pPr>
        <w:spacing w:after="0" w:line="240" w:lineRule="auto"/>
        <w:jc w:val="left"/>
      </w:pPr>
      <w:r w:rsidRPr="003E4D27">
        <w:t>Brazil: Ana Torres, Federal University of Paraíba</w:t>
      </w:r>
    </w:p>
    <w:p w14:paraId="4E896F3F" w14:textId="77777777" w:rsidR="003E4D27" w:rsidRPr="003E4D27" w:rsidRDefault="003E4D27" w:rsidP="003E4D27">
      <w:pPr>
        <w:spacing w:after="0" w:line="240" w:lineRule="auto"/>
        <w:jc w:val="left"/>
      </w:pPr>
      <w:r w:rsidRPr="003E4D27">
        <w:t>Brazil: Daniela S. Zanini, Pontifical Catholic University of Goiás</w:t>
      </w:r>
    </w:p>
    <w:p w14:paraId="097DAD2A" w14:textId="77777777" w:rsidR="003E4D27" w:rsidRPr="003E4D27" w:rsidRDefault="003E4D27" w:rsidP="003E4D27">
      <w:pPr>
        <w:spacing w:after="0" w:line="240" w:lineRule="auto"/>
        <w:jc w:val="left"/>
      </w:pPr>
      <w:r w:rsidRPr="003E4D27">
        <w:t>Bulgaria: Kristina Petkova, Bulgarian Academy of Sciences</w:t>
      </w:r>
    </w:p>
    <w:p w14:paraId="3568DF9A" w14:textId="77777777" w:rsidR="003E4D27" w:rsidRPr="003E4D27" w:rsidRDefault="003E4D27" w:rsidP="003E4D27">
      <w:pPr>
        <w:spacing w:after="0" w:line="240" w:lineRule="auto"/>
        <w:jc w:val="left"/>
      </w:pPr>
      <w:r w:rsidRPr="003E4D27">
        <w:t>Canada: Jessica Tracy, University of British Columbia</w:t>
      </w:r>
    </w:p>
    <w:p w14:paraId="1356EB64" w14:textId="77777777" w:rsidR="003E4D27" w:rsidRPr="003E4D27" w:rsidRDefault="003E4D27" w:rsidP="003E4D27">
      <w:pPr>
        <w:spacing w:after="0" w:line="240" w:lineRule="auto"/>
        <w:jc w:val="left"/>
        <w:rPr>
          <w:lang w:val="es-ES"/>
        </w:rPr>
      </w:pPr>
      <w:r w:rsidRPr="003E4D27">
        <w:rPr>
          <w:lang w:val="es-ES"/>
        </w:rPr>
        <w:t>Canada: Catherine Amiot, Université du Québec à Montréal</w:t>
      </w:r>
    </w:p>
    <w:p w14:paraId="08912A02" w14:textId="77777777" w:rsidR="003E4D27" w:rsidRPr="003E4D27" w:rsidRDefault="003E4D27" w:rsidP="003E4D27">
      <w:pPr>
        <w:spacing w:after="0" w:line="240" w:lineRule="auto"/>
        <w:jc w:val="left"/>
        <w:rPr>
          <w:lang w:val="es-ES"/>
        </w:rPr>
      </w:pPr>
      <w:r w:rsidRPr="003E4D27">
        <w:rPr>
          <w:lang w:val="es-ES"/>
        </w:rPr>
        <w:t>Canada: Mathieu Pelletier-Dumas, Université du Québec à Montréal</w:t>
      </w:r>
    </w:p>
    <w:p w14:paraId="44053790" w14:textId="77777777" w:rsidR="003E4D27" w:rsidRPr="003E4D27" w:rsidRDefault="003E4D27" w:rsidP="003E4D27">
      <w:pPr>
        <w:spacing w:after="0" w:line="240" w:lineRule="auto"/>
        <w:jc w:val="left"/>
        <w:rPr>
          <w:lang w:val="es-ES"/>
        </w:rPr>
      </w:pPr>
      <w:r w:rsidRPr="003E4D27">
        <w:rPr>
          <w:lang w:val="es-ES"/>
        </w:rPr>
        <w:t>Chile: Roberto González, Pontificia Universidad Católica de Chile</w:t>
      </w:r>
    </w:p>
    <w:p w14:paraId="173168EE" w14:textId="77777777" w:rsidR="003E4D27" w:rsidRPr="003E4D27" w:rsidRDefault="003E4D27" w:rsidP="003E4D27">
      <w:pPr>
        <w:spacing w:after="0" w:line="240" w:lineRule="auto"/>
        <w:jc w:val="left"/>
        <w:rPr>
          <w:lang w:val="es-ES"/>
        </w:rPr>
      </w:pPr>
      <w:r w:rsidRPr="003E4D27">
        <w:rPr>
          <w:lang w:val="es-ES"/>
        </w:rPr>
        <w:t>Chile: Ana Rosenbluth, Universidad Adolfo Ibáñez</w:t>
      </w:r>
    </w:p>
    <w:p w14:paraId="5D932F3A" w14:textId="77777777" w:rsidR="003E4D27" w:rsidRPr="003E4D27" w:rsidRDefault="003E4D27" w:rsidP="003E4D27">
      <w:pPr>
        <w:spacing w:after="0" w:line="240" w:lineRule="auto"/>
        <w:jc w:val="left"/>
        <w:rPr>
          <w:lang w:val="es-ES"/>
        </w:rPr>
      </w:pPr>
      <w:r w:rsidRPr="003E4D27">
        <w:rPr>
          <w:lang w:val="es-ES"/>
        </w:rPr>
        <w:t>Chile: Sergio Salgado, Universidad de La Frontera</w:t>
      </w:r>
    </w:p>
    <w:p w14:paraId="7287A9D2" w14:textId="77777777" w:rsidR="003E4D27" w:rsidRPr="003E4D27" w:rsidRDefault="003E4D27" w:rsidP="003E4D27">
      <w:pPr>
        <w:spacing w:after="0" w:line="240" w:lineRule="auto"/>
        <w:jc w:val="left"/>
      </w:pPr>
      <w:r w:rsidRPr="003E4D27">
        <w:t>China, Beijing: Yanjun Guan, Durham University, UK</w:t>
      </w:r>
    </w:p>
    <w:p w14:paraId="598AD0C1" w14:textId="77777777" w:rsidR="003E4D27" w:rsidRPr="003E4D27" w:rsidRDefault="003E4D27" w:rsidP="003E4D27">
      <w:pPr>
        <w:spacing w:after="0" w:line="240" w:lineRule="auto"/>
        <w:jc w:val="left"/>
      </w:pPr>
      <w:r w:rsidRPr="003E4D27">
        <w:t>China, Shanghai: Yu Yang, ShanghaiTech University</w:t>
      </w:r>
    </w:p>
    <w:p w14:paraId="3D775282" w14:textId="1C0B560C" w:rsidR="003E4D27" w:rsidRPr="003E4D27" w:rsidRDefault="003E4D27" w:rsidP="003E4D27">
      <w:pPr>
        <w:spacing w:after="0" w:line="240" w:lineRule="auto"/>
        <w:jc w:val="left"/>
        <w:rPr>
          <w:lang w:val="es-ES"/>
        </w:rPr>
      </w:pPr>
      <w:r w:rsidRPr="003E4D27">
        <w:rPr>
          <w:lang w:val="es-ES"/>
        </w:rPr>
        <w:t xml:space="preserve">Colombia: Diego Forero, </w:t>
      </w:r>
      <w:r w:rsidR="00F32E72" w:rsidRPr="00F32E72">
        <w:rPr>
          <w:lang w:val="es-ES"/>
        </w:rPr>
        <w:t>Fundación Universitaria del Área Andina, Bogotá</w:t>
      </w:r>
    </w:p>
    <w:p w14:paraId="213DA26A" w14:textId="77777777" w:rsidR="00F32E72" w:rsidRDefault="003E4D27" w:rsidP="003E4D27">
      <w:pPr>
        <w:spacing w:after="0" w:line="240" w:lineRule="auto"/>
        <w:jc w:val="left"/>
        <w:rPr>
          <w:lang w:val="es-ES"/>
        </w:rPr>
      </w:pPr>
      <w:r w:rsidRPr="003E4D27">
        <w:rPr>
          <w:lang w:val="es-ES"/>
        </w:rPr>
        <w:t xml:space="preserve">Colombia: Andrés Camargo, </w:t>
      </w:r>
      <w:r w:rsidR="00F32E72" w:rsidRPr="00F32E72">
        <w:rPr>
          <w:lang w:val="es-ES"/>
        </w:rPr>
        <w:t>Universidad de Ciencias Aplicadas y Ambientales, Bogotá &amp; Universidad Antonio Nariño, Bogotá</w:t>
      </w:r>
    </w:p>
    <w:p w14:paraId="1C5D05D8" w14:textId="77777777" w:rsidR="003E4D27" w:rsidRPr="003E4D27" w:rsidRDefault="003E4D27" w:rsidP="003E4D27">
      <w:pPr>
        <w:spacing w:after="0" w:line="240" w:lineRule="auto"/>
        <w:jc w:val="left"/>
      </w:pPr>
      <w:r w:rsidRPr="003E4D27">
        <w:t>Croatia: Željko Jerneić, University of Zagreb</w:t>
      </w:r>
    </w:p>
    <w:p w14:paraId="37B5DDDA" w14:textId="77777777" w:rsidR="003E4D27" w:rsidRPr="003E4D27" w:rsidRDefault="003E4D27" w:rsidP="003E4D27">
      <w:pPr>
        <w:spacing w:after="0" w:line="240" w:lineRule="auto"/>
        <w:jc w:val="left"/>
      </w:pPr>
      <w:r w:rsidRPr="003E4D27">
        <w:t>Czech Republic: Martina Hřebíčková, Czech Academy of Sciences</w:t>
      </w:r>
    </w:p>
    <w:p w14:paraId="570CB861" w14:textId="77777777" w:rsidR="003E4D27" w:rsidRPr="003E4D27" w:rsidRDefault="003E4D27" w:rsidP="003E4D27">
      <w:pPr>
        <w:spacing w:after="0" w:line="240" w:lineRule="auto"/>
        <w:jc w:val="left"/>
      </w:pPr>
      <w:r w:rsidRPr="003E4D27">
        <w:t>Czech Republic: Sylvie Graf, Czech Academy of Sciences</w:t>
      </w:r>
    </w:p>
    <w:p w14:paraId="1E0A4652" w14:textId="77777777" w:rsidR="003E4D27" w:rsidRPr="003E4D27" w:rsidRDefault="003E4D27" w:rsidP="003E4D27">
      <w:pPr>
        <w:spacing w:after="0" w:line="240" w:lineRule="auto"/>
        <w:jc w:val="left"/>
      </w:pPr>
      <w:r w:rsidRPr="003E4D27">
        <w:t>Denmark: Pernille Strøbæk, University of Copenhagen</w:t>
      </w:r>
    </w:p>
    <w:p w14:paraId="0B386C8B" w14:textId="77777777" w:rsidR="003E4D27" w:rsidRPr="003E4D27" w:rsidRDefault="003E4D27" w:rsidP="003E4D27">
      <w:pPr>
        <w:spacing w:after="0" w:line="240" w:lineRule="auto"/>
        <w:jc w:val="left"/>
      </w:pPr>
      <w:r w:rsidRPr="003E4D27">
        <w:t>Estonia: Anu Realo, University of Warwick, United Kingdom and the University of Tartu, Estonia</w:t>
      </w:r>
    </w:p>
    <w:p w14:paraId="0EA8BF2E" w14:textId="77777777" w:rsidR="003E4D27" w:rsidRPr="003E4D27" w:rsidRDefault="003E4D27" w:rsidP="003E4D27">
      <w:pPr>
        <w:spacing w:after="0" w:line="240" w:lineRule="auto"/>
        <w:jc w:val="left"/>
      </w:pPr>
      <w:r w:rsidRPr="003E4D27">
        <w:t>France: Maja Becker, CLLE, Université de Toulouse, CNRS, UT2J, France</w:t>
      </w:r>
    </w:p>
    <w:p w14:paraId="7ABB0167" w14:textId="77777777" w:rsidR="003E4D27" w:rsidRPr="003E4D27" w:rsidRDefault="003E4D27" w:rsidP="003E4D27">
      <w:pPr>
        <w:spacing w:after="0" w:line="240" w:lineRule="auto"/>
        <w:jc w:val="left"/>
      </w:pPr>
      <w:r w:rsidRPr="003E4D27">
        <w:t>France: Christelle Maisonneuve, Univ Rennes, LP3C (Laboratoire de Psychologie: Cognition, Comportement, Communication)</w:t>
      </w:r>
    </w:p>
    <w:p w14:paraId="7331C75F" w14:textId="77777777" w:rsidR="003E4D27" w:rsidRPr="003E4D27" w:rsidRDefault="003E4D27" w:rsidP="003E4D27">
      <w:pPr>
        <w:spacing w:after="0" w:line="240" w:lineRule="auto"/>
        <w:jc w:val="left"/>
        <w:rPr>
          <w:lang w:val="es-ES"/>
        </w:rPr>
      </w:pPr>
      <w:r w:rsidRPr="003E4D27">
        <w:rPr>
          <w:lang w:val="es-ES"/>
        </w:rPr>
        <w:t>Gaza (Palestine): Sofian El-Astal, Al Azhar University-Gaza (Palestine)</w:t>
      </w:r>
    </w:p>
    <w:p w14:paraId="57BA8A8F" w14:textId="77777777" w:rsidR="003E4D27" w:rsidRPr="003E4D27" w:rsidRDefault="003E4D27" w:rsidP="003E4D27">
      <w:pPr>
        <w:spacing w:after="0" w:line="240" w:lineRule="auto"/>
        <w:jc w:val="left"/>
      </w:pPr>
      <w:r w:rsidRPr="003E4D27">
        <w:t>Georgia: Vladimer Lado Gamsakhurdi, Ivane Javakhishvili Tbilisi State University</w:t>
      </w:r>
    </w:p>
    <w:p w14:paraId="2A628451" w14:textId="77777777" w:rsidR="003E4D27" w:rsidRPr="003E4D27" w:rsidRDefault="003E4D27" w:rsidP="003E4D27">
      <w:pPr>
        <w:spacing w:after="0" w:line="240" w:lineRule="auto"/>
        <w:jc w:val="left"/>
      </w:pPr>
      <w:r w:rsidRPr="003E4D27">
        <w:t>Germany: Matthias Ziegler, Humboldt Universität zu Berlin</w:t>
      </w:r>
    </w:p>
    <w:p w14:paraId="207ACE47" w14:textId="77777777" w:rsidR="003E4D27" w:rsidRPr="003E4D27" w:rsidRDefault="003E4D27" w:rsidP="003E4D27">
      <w:pPr>
        <w:spacing w:after="0" w:line="240" w:lineRule="auto"/>
        <w:jc w:val="left"/>
      </w:pPr>
      <w:r w:rsidRPr="003E4D27">
        <w:t>Germany: Lars Penke, University of Goettingen &amp; Leibniz ScienceCampus Primate Cognition</w:t>
      </w:r>
    </w:p>
    <w:p w14:paraId="22482BC6" w14:textId="4B4A5AAC" w:rsidR="003E4D27" w:rsidRDefault="003E4D27" w:rsidP="003E4D27">
      <w:pPr>
        <w:spacing w:after="0" w:line="240" w:lineRule="auto"/>
        <w:jc w:val="left"/>
      </w:pPr>
      <w:r w:rsidRPr="003E4D27">
        <w:t xml:space="preserve">Germany: John Rauthmann, Universität </w:t>
      </w:r>
      <w:r w:rsidR="00F32E72">
        <w:t>Bielefeld</w:t>
      </w:r>
    </w:p>
    <w:p w14:paraId="7E3D6E58" w14:textId="77777777" w:rsidR="00F32E72" w:rsidRPr="003E4D27" w:rsidRDefault="00F32E72" w:rsidP="00F32E72">
      <w:pPr>
        <w:spacing w:after="0" w:line="240" w:lineRule="auto"/>
        <w:jc w:val="left"/>
      </w:pPr>
      <w:r>
        <w:t xml:space="preserve">Greece: </w:t>
      </w:r>
      <w:r w:rsidRPr="003E4D27">
        <w:t>Emmanouil Papastefanakis, University of Crete</w:t>
      </w:r>
    </w:p>
    <w:p w14:paraId="15BF231A" w14:textId="320CB1A1" w:rsidR="00F32E72" w:rsidRPr="003E4D27" w:rsidRDefault="00F32E72" w:rsidP="00F32E72">
      <w:pPr>
        <w:spacing w:after="0" w:line="240" w:lineRule="auto"/>
        <w:jc w:val="left"/>
      </w:pPr>
      <w:r>
        <w:t>Greece</w:t>
      </w:r>
      <w:r w:rsidRPr="003E4D27">
        <w:t>: Georgios Kritsotakis, Technological Institute of Crete</w:t>
      </w:r>
    </w:p>
    <w:p w14:paraId="60B25D1B" w14:textId="2B14F80C" w:rsidR="00F32E72" w:rsidRPr="003E4D27" w:rsidRDefault="00F32E72" w:rsidP="00F32E72">
      <w:pPr>
        <w:spacing w:after="0" w:line="240" w:lineRule="auto"/>
        <w:jc w:val="left"/>
      </w:pPr>
      <w:r>
        <w:t>Greece</w:t>
      </w:r>
      <w:r w:rsidRPr="003E4D27">
        <w:t>: Irene Spyridaki,</w:t>
      </w:r>
      <w:r w:rsidRPr="003E4D27">
        <w:rPr>
          <w:vertAlign w:val="superscript"/>
        </w:rPr>
        <w:t xml:space="preserve"> </w:t>
      </w:r>
      <w:r w:rsidRPr="003E4D27">
        <w:t>University of Crete</w:t>
      </w:r>
    </w:p>
    <w:p w14:paraId="0E3915A1" w14:textId="7051F673" w:rsidR="00F32E72" w:rsidRPr="003E4D27" w:rsidRDefault="00F32E72" w:rsidP="003E4D27">
      <w:pPr>
        <w:spacing w:after="0" w:line="240" w:lineRule="auto"/>
        <w:jc w:val="left"/>
      </w:pPr>
      <w:r>
        <w:t>Greece</w:t>
      </w:r>
      <w:r w:rsidRPr="003E4D27">
        <w:t>: Evangelia Fragkiadaki, Hellenic American University</w:t>
      </w:r>
    </w:p>
    <w:p w14:paraId="45C40453" w14:textId="77777777" w:rsidR="003E4D27" w:rsidRPr="003E4D27" w:rsidRDefault="003E4D27" w:rsidP="003E4D27">
      <w:pPr>
        <w:spacing w:after="0" w:line="240" w:lineRule="auto"/>
        <w:jc w:val="left"/>
      </w:pPr>
      <w:r w:rsidRPr="003E4D27">
        <w:t>Hong Kong: Emma E. Buchtel, The Education University of Hong Kong</w:t>
      </w:r>
    </w:p>
    <w:p w14:paraId="0BE6C33D" w14:textId="77777777" w:rsidR="003E4D27" w:rsidRPr="003E4D27" w:rsidRDefault="003E4D27" w:rsidP="003E4D27">
      <w:pPr>
        <w:spacing w:after="0" w:line="240" w:lineRule="auto"/>
        <w:jc w:val="left"/>
      </w:pPr>
      <w:r w:rsidRPr="003E4D27">
        <w:t>Hong Kong: Victoria Wai-Lan Yeung, Lingnan University</w:t>
      </w:r>
    </w:p>
    <w:p w14:paraId="2EDCC1E5" w14:textId="77777777" w:rsidR="003E4D27" w:rsidRPr="003E4D27" w:rsidRDefault="003E4D27" w:rsidP="003E4D27">
      <w:pPr>
        <w:spacing w:after="0" w:line="240" w:lineRule="auto"/>
        <w:jc w:val="left"/>
      </w:pPr>
      <w:r w:rsidRPr="003E4D27">
        <w:t>Hungary: Ágota Kun, Budapest University of Technology and Economics</w:t>
      </w:r>
    </w:p>
    <w:p w14:paraId="660733A6" w14:textId="77777777" w:rsidR="003E4D27" w:rsidRPr="003E4D27" w:rsidRDefault="003E4D27" w:rsidP="003E4D27">
      <w:pPr>
        <w:spacing w:after="0" w:line="240" w:lineRule="auto"/>
        <w:jc w:val="left"/>
      </w:pPr>
      <w:r w:rsidRPr="003E4D27">
        <w:t>Hungary: Peter Gadanecz, Budapest University of Technology and Economics</w:t>
      </w:r>
    </w:p>
    <w:p w14:paraId="3D554FC1" w14:textId="77777777" w:rsidR="003E4D27" w:rsidRPr="003E4D27" w:rsidRDefault="003E4D27" w:rsidP="003E4D27">
      <w:pPr>
        <w:spacing w:after="0" w:line="240" w:lineRule="auto"/>
        <w:jc w:val="left"/>
      </w:pPr>
      <w:r w:rsidRPr="003E4D27">
        <w:t>Hungary: Zoltán Vass, Karoli Gaspar University of the Reformed Church in Hungary</w:t>
      </w:r>
    </w:p>
    <w:p w14:paraId="0CE180E6" w14:textId="77777777" w:rsidR="003E4D27" w:rsidRPr="003E4D27" w:rsidRDefault="003E4D27" w:rsidP="003E4D27">
      <w:pPr>
        <w:spacing w:after="0" w:line="240" w:lineRule="auto"/>
        <w:jc w:val="left"/>
      </w:pPr>
      <w:r w:rsidRPr="003E4D27">
        <w:lastRenderedPageBreak/>
        <w:t>Hungary: Máté Smohai, Karoli Gaspar University of the Reformed Church in Hungary</w:t>
      </w:r>
    </w:p>
    <w:p w14:paraId="145C80DE" w14:textId="6C37AEDD" w:rsidR="003E4D27" w:rsidRPr="003E4D27" w:rsidRDefault="003E4D27" w:rsidP="003E4D27">
      <w:pPr>
        <w:spacing w:after="0" w:line="240" w:lineRule="auto"/>
        <w:jc w:val="left"/>
      </w:pPr>
      <w:r w:rsidRPr="003E4D27">
        <w:t>India: Anagha Lavalekar, Jnana Prabodihini’s Institute of Psychology, Pune</w:t>
      </w:r>
    </w:p>
    <w:p w14:paraId="3BC86DDC" w14:textId="1EB6B025" w:rsidR="003E4D27" w:rsidRPr="00783033" w:rsidRDefault="003E4D27" w:rsidP="003E4D27">
      <w:pPr>
        <w:spacing w:after="0" w:line="240" w:lineRule="auto"/>
        <w:jc w:val="left"/>
        <w:rPr>
          <w:lang w:val="es-ES"/>
        </w:rPr>
      </w:pPr>
      <w:r w:rsidRPr="00783033">
        <w:rPr>
          <w:lang w:val="es-ES"/>
        </w:rPr>
        <w:t>Indonesia: Meta Zahro Aurelia, Univeritas Ahmad Dahlan</w:t>
      </w:r>
    </w:p>
    <w:p w14:paraId="132B6704" w14:textId="0068662F" w:rsidR="003E4D27" w:rsidRPr="003E4D27" w:rsidRDefault="003E4D27" w:rsidP="003E4D27">
      <w:pPr>
        <w:spacing w:after="0" w:line="240" w:lineRule="auto"/>
        <w:jc w:val="left"/>
      </w:pPr>
      <w:r w:rsidRPr="003E4D27">
        <w:t>Indonesia: Dian Kinayung, Univeritas Ahmad Dahlan</w:t>
      </w:r>
    </w:p>
    <w:p w14:paraId="031BD2FB" w14:textId="77777777" w:rsidR="003E4D27" w:rsidRPr="003E4D27" w:rsidRDefault="003E4D27" w:rsidP="003E4D27">
      <w:pPr>
        <w:spacing w:after="0" w:line="240" w:lineRule="auto"/>
        <w:jc w:val="left"/>
      </w:pPr>
      <w:r w:rsidRPr="003E4D27">
        <w:t>Indonesia: Vanessa Gaffar, Universitas Pendidikan Indonesia</w:t>
      </w:r>
    </w:p>
    <w:p w14:paraId="5D79A872" w14:textId="77777777" w:rsidR="003E4D27" w:rsidRPr="003E4D27" w:rsidRDefault="003E4D27" w:rsidP="003E4D27">
      <w:pPr>
        <w:spacing w:after="0" w:line="240" w:lineRule="auto"/>
        <w:jc w:val="left"/>
      </w:pPr>
      <w:r w:rsidRPr="003E4D27">
        <w:t>Indonesia: Gavin Sullivan, Coventry University</w:t>
      </w:r>
    </w:p>
    <w:p w14:paraId="1F3FFF46" w14:textId="77777777" w:rsidR="003E4D27" w:rsidRPr="003E4D27" w:rsidRDefault="003E4D27" w:rsidP="003E4D27">
      <w:pPr>
        <w:spacing w:after="0" w:line="240" w:lineRule="auto"/>
        <w:jc w:val="left"/>
      </w:pPr>
      <w:r w:rsidRPr="003E4D27">
        <w:t>Indonesia: Christopher Day, Coventry University</w:t>
      </w:r>
    </w:p>
    <w:p w14:paraId="7530F373" w14:textId="77777777" w:rsidR="003E4D27" w:rsidRPr="003E4D27" w:rsidRDefault="003E4D27" w:rsidP="003E4D27">
      <w:pPr>
        <w:spacing w:after="0" w:line="240" w:lineRule="auto"/>
        <w:jc w:val="left"/>
      </w:pPr>
      <w:r w:rsidRPr="003E4D27">
        <w:t>Israel: Eyal Rechter, Ono Academic College</w:t>
      </w:r>
    </w:p>
    <w:p w14:paraId="71F86681" w14:textId="77777777" w:rsidR="003E4D27" w:rsidRPr="003E4D27" w:rsidRDefault="003E4D27" w:rsidP="003E4D27">
      <w:pPr>
        <w:spacing w:after="0" w:line="240" w:lineRule="auto"/>
        <w:jc w:val="left"/>
      </w:pPr>
      <w:r w:rsidRPr="003E4D27">
        <w:t>Italy: Augusto Gnisci, University of Campania, “Luigi Vanvitelli”</w:t>
      </w:r>
    </w:p>
    <w:p w14:paraId="61815A13" w14:textId="77777777" w:rsidR="003E4D27" w:rsidRPr="003E4D27" w:rsidRDefault="003E4D27" w:rsidP="003E4D27">
      <w:pPr>
        <w:spacing w:after="0" w:line="240" w:lineRule="auto"/>
        <w:jc w:val="left"/>
      </w:pPr>
      <w:r w:rsidRPr="003E4D27">
        <w:t>Italy: Ida Sergi, University of Campania, “Luigi Vanvitelli”</w:t>
      </w:r>
    </w:p>
    <w:p w14:paraId="3A696471" w14:textId="77777777" w:rsidR="003E4D27" w:rsidRPr="003E4D27" w:rsidRDefault="003E4D27" w:rsidP="003E4D27">
      <w:pPr>
        <w:spacing w:after="0" w:line="240" w:lineRule="auto"/>
        <w:jc w:val="left"/>
      </w:pPr>
      <w:r w:rsidRPr="003E4D27">
        <w:t>Italy: Vincenzo Paolo Senese, University of Campania, “Luigi Vanvitelli”</w:t>
      </w:r>
    </w:p>
    <w:p w14:paraId="783F1F36" w14:textId="77777777" w:rsidR="003E4D27" w:rsidRPr="003E4D27" w:rsidRDefault="003E4D27" w:rsidP="003E4D27">
      <w:pPr>
        <w:spacing w:after="0" w:line="240" w:lineRule="auto"/>
        <w:jc w:val="left"/>
      </w:pPr>
      <w:r w:rsidRPr="003E4D27">
        <w:t>Italy: Marco Perugini, University of Milan-Bicocca</w:t>
      </w:r>
    </w:p>
    <w:p w14:paraId="289D447E" w14:textId="77777777" w:rsidR="003E4D27" w:rsidRPr="003E4D27" w:rsidRDefault="003E4D27" w:rsidP="003E4D27">
      <w:pPr>
        <w:spacing w:after="0" w:line="240" w:lineRule="auto"/>
        <w:jc w:val="left"/>
      </w:pPr>
      <w:r w:rsidRPr="003E4D27">
        <w:t>Italy: Giulio Costantini, University of Milan-Bicocca</w:t>
      </w:r>
    </w:p>
    <w:p w14:paraId="34596293" w14:textId="77777777" w:rsidR="003E4D27" w:rsidRPr="003E4D27" w:rsidRDefault="003E4D27" w:rsidP="003E4D27">
      <w:pPr>
        <w:spacing w:after="0" w:line="240" w:lineRule="auto"/>
        <w:jc w:val="left"/>
      </w:pPr>
      <w:r w:rsidRPr="003E4D27">
        <w:t>Japan: Asuka Komiya, Hiroshima University</w:t>
      </w:r>
    </w:p>
    <w:p w14:paraId="64278235" w14:textId="77777777" w:rsidR="003E4D27" w:rsidRPr="003E4D27" w:rsidRDefault="003E4D27" w:rsidP="003E4D27">
      <w:pPr>
        <w:spacing w:after="0" w:line="240" w:lineRule="auto"/>
        <w:jc w:val="left"/>
      </w:pPr>
      <w:r w:rsidRPr="003E4D27">
        <w:t>Japan: Tatsuya Sato, Ritsumeikan University</w:t>
      </w:r>
    </w:p>
    <w:p w14:paraId="5ABB1F2B" w14:textId="77777777" w:rsidR="003E4D27" w:rsidRPr="003E4D27" w:rsidRDefault="003E4D27" w:rsidP="003E4D27">
      <w:pPr>
        <w:spacing w:after="0" w:line="240" w:lineRule="auto"/>
        <w:jc w:val="left"/>
      </w:pPr>
      <w:r w:rsidRPr="003E4D27">
        <w:t>Japan: Yuki Nakata, Ritsumeikan University</w:t>
      </w:r>
    </w:p>
    <w:p w14:paraId="57A78E62" w14:textId="77777777" w:rsidR="003E4D27" w:rsidRPr="003E4D27" w:rsidRDefault="003E4D27" w:rsidP="003E4D27">
      <w:pPr>
        <w:spacing w:after="0" w:line="240" w:lineRule="auto"/>
        <w:jc w:val="left"/>
      </w:pPr>
      <w:r w:rsidRPr="003E4D27">
        <w:t>Japan: Shizuka Kawamoto, Yamanashi University</w:t>
      </w:r>
    </w:p>
    <w:p w14:paraId="520E36AB" w14:textId="77777777" w:rsidR="003E4D27" w:rsidRPr="003E4D27" w:rsidRDefault="003E4D27" w:rsidP="003E4D27">
      <w:pPr>
        <w:spacing w:after="0" w:line="240" w:lineRule="auto"/>
        <w:jc w:val="left"/>
        <w:rPr>
          <w:lang w:val="es-ES"/>
        </w:rPr>
      </w:pPr>
      <w:r w:rsidRPr="003E4D27">
        <w:rPr>
          <w:lang w:val="es-ES"/>
        </w:rPr>
        <w:t>Jordan: Marwan Al-Zoubi, University of Jordan</w:t>
      </w:r>
    </w:p>
    <w:p w14:paraId="06541BA3" w14:textId="77777777" w:rsidR="003E4D27" w:rsidRPr="003E4D27" w:rsidRDefault="003E4D27" w:rsidP="003E4D27">
      <w:pPr>
        <w:spacing w:after="0" w:line="240" w:lineRule="auto"/>
        <w:jc w:val="left"/>
      </w:pPr>
      <w:r w:rsidRPr="003E4D27">
        <w:t>Kenya: Nicholas Owsley, Busara Center for Behavioral Economics</w:t>
      </w:r>
    </w:p>
    <w:p w14:paraId="63B4E3B3" w14:textId="77777777" w:rsidR="003E4D27" w:rsidRPr="003E4D27" w:rsidRDefault="003E4D27" w:rsidP="003E4D27">
      <w:pPr>
        <w:spacing w:after="0" w:line="240" w:lineRule="auto"/>
        <w:jc w:val="left"/>
      </w:pPr>
      <w:r w:rsidRPr="003E4D27">
        <w:t>Kenya: Chaning Jang, Busara Center for Behavioral Economics</w:t>
      </w:r>
    </w:p>
    <w:p w14:paraId="2D903FAB" w14:textId="77777777" w:rsidR="003E4D27" w:rsidRPr="003E4D27" w:rsidRDefault="003E4D27" w:rsidP="003E4D27">
      <w:pPr>
        <w:spacing w:after="0" w:line="240" w:lineRule="auto"/>
        <w:jc w:val="left"/>
      </w:pPr>
      <w:r w:rsidRPr="003E4D27">
        <w:t>Kenya: Georgina Mburu, Busara Center for Behavioral Economics</w:t>
      </w:r>
    </w:p>
    <w:p w14:paraId="11E73D58" w14:textId="77777777" w:rsidR="003E4D27" w:rsidRPr="003E4D27" w:rsidRDefault="003E4D27" w:rsidP="003E4D27">
      <w:pPr>
        <w:spacing w:after="0" w:line="240" w:lineRule="auto"/>
        <w:jc w:val="left"/>
      </w:pPr>
      <w:r w:rsidRPr="003E4D27">
        <w:t>Kenya: Irene Ngina, Busara Center for Behavioral Economics</w:t>
      </w:r>
    </w:p>
    <w:p w14:paraId="6F29119D" w14:textId="77777777" w:rsidR="003E4D27" w:rsidRPr="003E4D27" w:rsidRDefault="003E4D27" w:rsidP="003E4D27">
      <w:pPr>
        <w:spacing w:after="0" w:line="240" w:lineRule="auto"/>
        <w:jc w:val="left"/>
      </w:pPr>
      <w:r w:rsidRPr="003E4D27">
        <w:t>Latvia: Girts Dimdins, University of Latvia</w:t>
      </w:r>
    </w:p>
    <w:p w14:paraId="15959A2A" w14:textId="77777777" w:rsidR="003E4D27" w:rsidRPr="003E4D27" w:rsidRDefault="003E4D27" w:rsidP="003E4D27">
      <w:pPr>
        <w:spacing w:after="0" w:line="240" w:lineRule="auto"/>
        <w:jc w:val="left"/>
      </w:pPr>
      <w:r w:rsidRPr="003E4D27">
        <w:t>Lithuania: Rasa Barkauskiene, Vilnius University</w:t>
      </w:r>
    </w:p>
    <w:p w14:paraId="274806EA" w14:textId="77777777" w:rsidR="003E4D27" w:rsidRPr="003E4D27" w:rsidRDefault="003E4D27" w:rsidP="003E4D27">
      <w:pPr>
        <w:spacing w:after="0" w:line="240" w:lineRule="auto"/>
        <w:jc w:val="left"/>
      </w:pPr>
      <w:r w:rsidRPr="003E4D27">
        <w:t>Lithuania: Alfredas Laurinavicius, Vilnius University</w:t>
      </w:r>
    </w:p>
    <w:p w14:paraId="113E07B1" w14:textId="77777777" w:rsidR="003E4D27" w:rsidRPr="003E4D27" w:rsidRDefault="003E4D27" w:rsidP="003E4D27">
      <w:pPr>
        <w:spacing w:after="0" w:line="240" w:lineRule="auto"/>
        <w:jc w:val="left"/>
      </w:pPr>
      <w:r w:rsidRPr="003E4D27">
        <w:t>Macedonia: Marijana Markovikj, Saints Cyril and Methodius University of Skopje, Institute for sociological political and juridical research</w:t>
      </w:r>
    </w:p>
    <w:p w14:paraId="13B9CC1F" w14:textId="77777777" w:rsidR="003E4D27" w:rsidRPr="003E4D27" w:rsidRDefault="003E4D27" w:rsidP="003E4D27">
      <w:pPr>
        <w:spacing w:after="0" w:line="240" w:lineRule="auto"/>
        <w:jc w:val="left"/>
      </w:pPr>
      <w:r w:rsidRPr="003E4D27">
        <w:t>Macedonia: Eleonora Serafimovska, Saints Cyril and Methodius University of Skopje, Institute for sociological political and juridical research</w:t>
      </w:r>
    </w:p>
    <w:p w14:paraId="59D88B4A" w14:textId="77777777" w:rsidR="003E4D27" w:rsidRPr="003E4D27" w:rsidRDefault="003E4D27" w:rsidP="003E4D27">
      <w:pPr>
        <w:spacing w:after="0" w:line="240" w:lineRule="auto"/>
        <w:jc w:val="left"/>
      </w:pPr>
      <w:r w:rsidRPr="003E4D27">
        <w:t>Malaysia: Khairul A. Mastor, Universiti Kebangsaan Malaysia</w:t>
      </w:r>
    </w:p>
    <w:p w14:paraId="63648167" w14:textId="77777777" w:rsidR="003E4D27" w:rsidRPr="003E4D27" w:rsidRDefault="003E4D27" w:rsidP="003E4D27">
      <w:pPr>
        <w:spacing w:after="0" w:line="240" w:lineRule="auto"/>
        <w:jc w:val="left"/>
      </w:pPr>
      <w:r w:rsidRPr="003E4D27">
        <w:t xml:space="preserve">Mexico: Elliott Kruse, EGADE Business School, </w:t>
      </w:r>
      <w:r w:rsidRPr="003E4D27">
        <w:rPr>
          <w:color w:val="000000"/>
        </w:rPr>
        <w:t>Tec de Monterrey</w:t>
      </w:r>
    </w:p>
    <w:p w14:paraId="21C53F5C" w14:textId="77777777" w:rsidR="003E4D27" w:rsidRPr="003E4D27" w:rsidRDefault="003E4D27" w:rsidP="003E4D27">
      <w:pPr>
        <w:spacing w:after="0" w:line="240" w:lineRule="auto"/>
        <w:jc w:val="left"/>
        <w:rPr>
          <w:lang w:val="es-ES"/>
        </w:rPr>
      </w:pPr>
      <w:r w:rsidRPr="003E4D27">
        <w:rPr>
          <w:lang w:val="es-ES"/>
        </w:rPr>
        <w:t>Mexico: Nairán Ramírez-Esparza, Fundación Universidad de las Américas Puebla</w:t>
      </w:r>
    </w:p>
    <w:p w14:paraId="271C7853" w14:textId="77777777" w:rsidR="003E4D27" w:rsidRPr="003E4D27" w:rsidRDefault="003E4D27" w:rsidP="003E4D27">
      <w:pPr>
        <w:spacing w:after="0" w:line="240" w:lineRule="auto"/>
        <w:jc w:val="left"/>
      </w:pPr>
      <w:r w:rsidRPr="003E4D27">
        <w:t>Netherlands: Jaap Denissen, Tilburg University</w:t>
      </w:r>
    </w:p>
    <w:p w14:paraId="0A40E212" w14:textId="77777777" w:rsidR="003E4D27" w:rsidRPr="003E4D27" w:rsidRDefault="003E4D27" w:rsidP="003E4D27">
      <w:pPr>
        <w:spacing w:after="0" w:line="240" w:lineRule="auto"/>
        <w:jc w:val="left"/>
      </w:pPr>
      <w:r w:rsidRPr="003E4D27">
        <w:t>Netherlands: Marcel Van Aken, University of Utrecht</w:t>
      </w:r>
    </w:p>
    <w:p w14:paraId="762D7ED0" w14:textId="77777777" w:rsidR="003E4D27" w:rsidRPr="003E4D27" w:rsidRDefault="003E4D27" w:rsidP="003E4D27">
      <w:pPr>
        <w:spacing w:after="0" w:line="240" w:lineRule="auto"/>
        <w:jc w:val="left"/>
      </w:pPr>
      <w:r w:rsidRPr="003E4D27">
        <w:t>New Zealand: Ron Fischer, Victoria University of Wellington, Wellington</w:t>
      </w:r>
    </w:p>
    <w:p w14:paraId="4A66ED32" w14:textId="77777777" w:rsidR="003E4D27" w:rsidRPr="003E4D27" w:rsidRDefault="003E4D27" w:rsidP="003E4D27">
      <w:pPr>
        <w:spacing w:after="0" w:line="240" w:lineRule="auto"/>
        <w:jc w:val="left"/>
      </w:pPr>
      <w:r w:rsidRPr="003E4D27">
        <w:t>Nigeria: Ike E. Onyishi, University of Nigeria, Nsukka</w:t>
      </w:r>
    </w:p>
    <w:p w14:paraId="69A665E9" w14:textId="77777777" w:rsidR="003E4D27" w:rsidRPr="003E4D27" w:rsidRDefault="003E4D27" w:rsidP="003E4D27">
      <w:pPr>
        <w:spacing w:after="0" w:line="240" w:lineRule="auto"/>
        <w:jc w:val="left"/>
      </w:pPr>
      <w:r w:rsidRPr="003E4D27">
        <w:t>Nigeria: Kalu T. Ogba, University of Nigeria, Nsukka</w:t>
      </w:r>
    </w:p>
    <w:p w14:paraId="2FA0982D" w14:textId="77777777" w:rsidR="003E4D27" w:rsidRPr="003E4D27" w:rsidRDefault="003E4D27" w:rsidP="003E4D27">
      <w:pPr>
        <w:spacing w:after="0" w:line="240" w:lineRule="auto"/>
        <w:jc w:val="left"/>
      </w:pPr>
      <w:r w:rsidRPr="003E4D27">
        <w:t>Norway: Siri Leknes, University of Oslo</w:t>
      </w:r>
    </w:p>
    <w:p w14:paraId="3EFACBD7" w14:textId="77777777" w:rsidR="003E4D27" w:rsidRPr="003E4D27" w:rsidRDefault="003E4D27" w:rsidP="003E4D27">
      <w:pPr>
        <w:spacing w:after="0" w:line="240" w:lineRule="auto"/>
        <w:jc w:val="left"/>
      </w:pPr>
      <w:r w:rsidRPr="003E4D27">
        <w:t>Norway: Vera Waldal Holen, University of Oslo</w:t>
      </w:r>
    </w:p>
    <w:p w14:paraId="366ADA9C" w14:textId="77777777" w:rsidR="003E4D27" w:rsidRPr="003E4D27" w:rsidRDefault="003E4D27" w:rsidP="003E4D27">
      <w:pPr>
        <w:spacing w:after="0" w:line="240" w:lineRule="auto"/>
        <w:jc w:val="left"/>
      </w:pPr>
      <w:r w:rsidRPr="003E4D27">
        <w:t>Norway: Ingelin Hansen, University of Oslo</w:t>
      </w:r>
    </w:p>
    <w:p w14:paraId="3C5174E7" w14:textId="77777777" w:rsidR="003E4D27" w:rsidRPr="003E4D27" w:rsidRDefault="003E4D27" w:rsidP="003E4D27">
      <w:pPr>
        <w:spacing w:after="0" w:line="240" w:lineRule="auto"/>
        <w:jc w:val="left"/>
      </w:pPr>
      <w:r w:rsidRPr="003E4D27">
        <w:t>Norway: Christian K. Tamnes, University of Oslo</w:t>
      </w:r>
    </w:p>
    <w:p w14:paraId="1BFEA0C8" w14:textId="77777777" w:rsidR="003E4D27" w:rsidRPr="003E4D27" w:rsidRDefault="003E4D27" w:rsidP="003E4D27">
      <w:pPr>
        <w:spacing w:after="0" w:line="240" w:lineRule="auto"/>
        <w:jc w:val="left"/>
      </w:pPr>
      <w:r w:rsidRPr="003E4D27">
        <w:t>Norway: Kaia Klæva, University of Oslo</w:t>
      </w:r>
    </w:p>
    <w:p w14:paraId="126ACA7D" w14:textId="77777777" w:rsidR="003E4D27" w:rsidRPr="003E4D27" w:rsidRDefault="003E4D27" w:rsidP="003E4D27">
      <w:pPr>
        <w:spacing w:after="0" w:line="240" w:lineRule="auto"/>
        <w:jc w:val="left"/>
      </w:pPr>
      <w:r w:rsidRPr="003E4D27">
        <w:t>Pakistan: Muhammad Rizwan, Government of Pakistan</w:t>
      </w:r>
    </w:p>
    <w:p w14:paraId="25E6C8DF" w14:textId="77777777" w:rsidR="003E4D27" w:rsidRPr="003E4D27" w:rsidRDefault="003E4D27" w:rsidP="003E4D27">
      <w:pPr>
        <w:spacing w:after="0" w:line="240" w:lineRule="auto"/>
        <w:jc w:val="left"/>
      </w:pPr>
      <w:r w:rsidRPr="003E4D27">
        <w:t>Pakistan: Rukhsana Kausar, University of the Punjab, Lahore</w:t>
      </w:r>
    </w:p>
    <w:p w14:paraId="21B4D3FA" w14:textId="77777777" w:rsidR="003E4D27" w:rsidRPr="003E4D27" w:rsidRDefault="003E4D27" w:rsidP="003E4D27">
      <w:pPr>
        <w:spacing w:after="0" w:line="240" w:lineRule="auto"/>
        <w:jc w:val="left"/>
      </w:pPr>
      <w:r w:rsidRPr="003E4D27">
        <w:t>Pakistan: Nashi Khan, University of the Punjab, Lahore</w:t>
      </w:r>
    </w:p>
    <w:p w14:paraId="3134E3CE" w14:textId="77777777" w:rsidR="003E4D27" w:rsidRPr="003E4D27" w:rsidRDefault="003E4D27" w:rsidP="003E4D27">
      <w:pPr>
        <w:spacing w:after="0" w:line="240" w:lineRule="auto"/>
        <w:jc w:val="left"/>
        <w:rPr>
          <w:lang w:val="es-ES"/>
        </w:rPr>
      </w:pPr>
      <w:r w:rsidRPr="003E4D27">
        <w:rPr>
          <w:lang w:val="es-ES"/>
        </w:rPr>
        <w:t>Peru: Agustín Espinosa, Pontificia Universidad Católica del Peru</w:t>
      </w:r>
    </w:p>
    <w:p w14:paraId="55142256" w14:textId="6C626481" w:rsidR="003E4D27" w:rsidRPr="003E4D27" w:rsidRDefault="003E4D27" w:rsidP="003E4D27">
      <w:pPr>
        <w:spacing w:after="0" w:line="240" w:lineRule="auto"/>
        <w:jc w:val="left"/>
      </w:pPr>
      <w:r w:rsidRPr="003E4D27">
        <w:lastRenderedPageBreak/>
        <w:t>Philippines: Maria Cecilia Gastardo- Conaco, University of Philippines-Diliman</w:t>
      </w:r>
    </w:p>
    <w:p w14:paraId="0076288B" w14:textId="77777777" w:rsidR="003E4D27" w:rsidRPr="003E4D27" w:rsidRDefault="003E4D27" w:rsidP="003E4D27">
      <w:pPr>
        <w:spacing w:after="0" w:line="240" w:lineRule="auto"/>
        <w:jc w:val="left"/>
      </w:pPr>
      <w:r w:rsidRPr="003E4D27">
        <w:t>Philippines: Diwa Malaya A. Quiñones, University of Philippines-Diliman</w:t>
      </w:r>
    </w:p>
    <w:p w14:paraId="4FFE142B" w14:textId="77777777" w:rsidR="003E4D27" w:rsidRPr="003E4D27" w:rsidRDefault="003E4D27" w:rsidP="003E4D27">
      <w:pPr>
        <w:spacing w:after="0" w:line="240" w:lineRule="auto"/>
        <w:jc w:val="left"/>
      </w:pPr>
      <w:r w:rsidRPr="003E4D27">
        <w:t>Poland: Piotr Szarota, Institute of Psychology of The Polish Academy of Sciences</w:t>
      </w:r>
    </w:p>
    <w:p w14:paraId="61588DE3" w14:textId="77777777" w:rsidR="003E4D27" w:rsidRPr="003E4D27" w:rsidRDefault="003E4D27" w:rsidP="003E4D27">
      <w:pPr>
        <w:spacing w:after="0" w:line="240" w:lineRule="auto"/>
        <w:jc w:val="left"/>
      </w:pPr>
      <w:r w:rsidRPr="003E4D27">
        <w:t>Poland: Paweł Izdebski, Kazimierz Wielki University</w:t>
      </w:r>
    </w:p>
    <w:p w14:paraId="1D4821B9" w14:textId="77777777" w:rsidR="003E4D27" w:rsidRPr="003E4D27" w:rsidRDefault="003E4D27" w:rsidP="003E4D27">
      <w:pPr>
        <w:spacing w:after="0" w:line="240" w:lineRule="auto"/>
        <w:jc w:val="left"/>
      </w:pPr>
      <w:r w:rsidRPr="003E4D27">
        <w:t>Poland: Martyna Kotyśko, University of Warmia and Mazury</w:t>
      </w:r>
    </w:p>
    <w:p w14:paraId="73426B07" w14:textId="77777777" w:rsidR="003E4D27" w:rsidRPr="003E4D27" w:rsidRDefault="003E4D27" w:rsidP="003E4D27">
      <w:pPr>
        <w:spacing w:after="0" w:line="240" w:lineRule="auto"/>
        <w:jc w:val="left"/>
        <w:rPr>
          <w:lang w:val="es-ES"/>
        </w:rPr>
      </w:pPr>
      <w:r w:rsidRPr="003E4D27">
        <w:rPr>
          <w:lang w:val="es-ES"/>
        </w:rPr>
        <w:t xml:space="preserve">Portugal: Joana Henriques-Calado, </w:t>
      </w:r>
      <w:r w:rsidRPr="003E4D27">
        <w:rPr>
          <w:highlight w:val="white"/>
          <w:lang w:val="es-ES"/>
        </w:rPr>
        <w:t>Universidade de Lisboa, Alameda da Universidade</w:t>
      </w:r>
    </w:p>
    <w:p w14:paraId="5610EDEB" w14:textId="77777777" w:rsidR="003E4D27" w:rsidRPr="003E4D27" w:rsidRDefault="003E4D27" w:rsidP="003E4D27">
      <w:pPr>
        <w:spacing w:after="0" w:line="240" w:lineRule="auto"/>
        <w:jc w:val="left"/>
      </w:pPr>
      <w:r w:rsidRPr="003E4D27">
        <w:t>Romania: Florin Alin Sava, West University of Timisoara</w:t>
      </w:r>
    </w:p>
    <w:p w14:paraId="62842C4E" w14:textId="77777777" w:rsidR="003E4D27" w:rsidRPr="003E4D27" w:rsidRDefault="003E4D27" w:rsidP="003E4D27">
      <w:pPr>
        <w:spacing w:after="0" w:line="240" w:lineRule="auto"/>
        <w:jc w:val="left"/>
      </w:pPr>
      <w:r w:rsidRPr="003E4D27">
        <w:t>Russia: Olga Lvova, St. Petersburg State University</w:t>
      </w:r>
    </w:p>
    <w:p w14:paraId="03A4A7AC" w14:textId="77777777" w:rsidR="003E4D27" w:rsidRPr="003E4D27" w:rsidRDefault="003E4D27" w:rsidP="003E4D27">
      <w:pPr>
        <w:spacing w:after="0" w:line="240" w:lineRule="auto"/>
        <w:jc w:val="left"/>
      </w:pPr>
      <w:r w:rsidRPr="003E4D27">
        <w:t>Russia: Victoria Pogrebitskaya, St. Petersburg State University</w:t>
      </w:r>
    </w:p>
    <w:p w14:paraId="5EC12436" w14:textId="77777777" w:rsidR="003E4D27" w:rsidRPr="003E4D27" w:rsidRDefault="003E4D27" w:rsidP="003E4D27">
      <w:pPr>
        <w:spacing w:after="0" w:line="240" w:lineRule="auto"/>
        <w:jc w:val="left"/>
      </w:pPr>
      <w:r w:rsidRPr="003E4D27">
        <w:t>Russia: Mikhail Allakhverdov, St. Petersburg State University</w:t>
      </w:r>
    </w:p>
    <w:p w14:paraId="32970455" w14:textId="77777777" w:rsidR="003E4D27" w:rsidRPr="003E4D27" w:rsidRDefault="003E4D27" w:rsidP="003E4D27">
      <w:pPr>
        <w:spacing w:after="0" w:line="240" w:lineRule="auto"/>
        <w:jc w:val="left"/>
      </w:pPr>
      <w:r w:rsidRPr="003E4D27">
        <w:t>Russia: Sergey Manichev, St. Petersburg State University</w:t>
      </w:r>
    </w:p>
    <w:p w14:paraId="668E0D1D" w14:textId="77777777" w:rsidR="003E4D27" w:rsidRPr="003E4D27" w:rsidRDefault="003E4D27" w:rsidP="003E4D27">
      <w:pPr>
        <w:spacing w:after="0" w:line="240" w:lineRule="auto"/>
        <w:jc w:val="left"/>
      </w:pPr>
      <w:r w:rsidRPr="003E4D27">
        <w:t>Senegal: Oumar Barry, Université Cheikh Anta Diop de Dakar-Sénégal</w:t>
      </w:r>
    </w:p>
    <w:p w14:paraId="729A0260" w14:textId="77777777" w:rsidR="003E4D27" w:rsidRPr="003E4D27" w:rsidRDefault="003E4D27" w:rsidP="003E4D27">
      <w:pPr>
        <w:spacing w:after="0" w:line="240" w:lineRule="auto"/>
        <w:jc w:val="left"/>
      </w:pPr>
      <w:r w:rsidRPr="003E4D27">
        <w:t>Serbia: Petar Čolović, University of Novi Sad</w:t>
      </w:r>
    </w:p>
    <w:p w14:paraId="195A0BD9" w14:textId="77777777" w:rsidR="003E4D27" w:rsidRPr="003E4D27" w:rsidRDefault="003E4D27" w:rsidP="003E4D27">
      <w:pPr>
        <w:spacing w:after="0" w:line="240" w:lineRule="auto"/>
        <w:jc w:val="left"/>
      </w:pPr>
      <w:r w:rsidRPr="003E4D27">
        <w:t>Serbia: Snežana Smederevac, University of Novi Sad</w:t>
      </w:r>
    </w:p>
    <w:p w14:paraId="2E8537C2" w14:textId="77777777" w:rsidR="003E4D27" w:rsidRPr="003E4D27" w:rsidRDefault="003E4D27" w:rsidP="003E4D27">
      <w:pPr>
        <w:spacing w:after="0" w:line="240" w:lineRule="auto"/>
        <w:jc w:val="left"/>
      </w:pPr>
      <w:r w:rsidRPr="003E4D27">
        <w:t>Serbia: Dušanka Mitrović, University of Novi Sad</w:t>
      </w:r>
    </w:p>
    <w:p w14:paraId="47B8E298" w14:textId="77777777" w:rsidR="003E4D27" w:rsidRPr="003E4D27" w:rsidRDefault="003E4D27" w:rsidP="003E4D27">
      <w:pPr>
        <w:spacing w:after="0" w:line="240" w:lineRule="auto"/>
        <w:jc w:val="left"/>
      </w:pPr>
      <w:r w:rsidRPr="003E4D27">
        <w:t>Serbia: Milan Oljača, University of Novi Sad</w:t>
      </w:r>
    </w:p>
    <w:p w14:paraId="1AD9C83F" w14:textId="77777777" w:rsidR="003E4D27" w:rsidRPr="003E4D27" w:rsidRDefault="003E4D27" w:rsidP="003E4D27">
      <w:pPr>
        <w:spacing w:after="0" w:line="240" w:lineRule="auto"/>
        <w:jc w:val="left"/>
      </w:pPr>
      <w:r w:rsidRPr="003E4D27">
        <w:t>Singapore: Ryan Hong, National University of Singapore</w:t>
      </w:r>
    </w:p>
    <w:p w14:paraId="2FE3E95C" w14:textId="77777777" w:rsidR="003E4D27" w:rsidRPr="003E4D27" w:rsidRDefault="003E4D27" w:rsidP="003E4D27">
      <w:pPr>
        <w:spacing w:after="0" w:line="240" w:lineRule="auto"/>
        <w:jc w:val="left"/>
      </w:pPr>
      <w:r w:rsidRPr="003E4D27">
        <w:t>Slovakia: Peter Halama, Slovak Academy of Sciences</w:t>
      </w:r>
    </w:p>
    <w:p w14:paraId="557C4B68" w14:textId="77777777" w:rsidR="003E4D27" w:rsidRPr="003E4D27" w:rsidRDefault="003E4D27" w:rsidP="003E4D27">
      <w:pPr>
        <w:spacing w:after="0" w:line="240" w:lineRule="auto"/>
        <w:jc w:val="left"/>
      </w:pPr>
      <w:r w:rsidRPr="003E4D27">
        <w:t>Slovenia: Janek Musek, University of Ljubljana</w:t>
      </w:r>
    </w:p>
    <w:p w14:paraId="1C65BE95" w14:textId="77777777" w:rsidR="003E4D27" w:rsidRPr="003E4D27" w:rsidRDefault="003E4D27" w:rsidP="003E4D27">
      <w:pPr>
        <w:spacing w:after="0" w:line="240" w:lineRule="auto"/>
        <w:jc w:val="left"/>
      </w:pPr>
      <w:r w:rsidRPr="003E4D27">
        <w:t>South Africa: Francois De Kock, University of Cape Town</w:t>
      </w:r>
    </w:p>
    <w:p w14:paraId="064D1FE4" w14:textId="77777777" w:rsidR="003E4D27" w:rsidRPr="003E4D27" w:rsidRDefault="003E4D27" w:rsidP="003E4D27">
      <w:pPr>
        <w:spacing w:after="0" w:line="240" w:lineRule="auto"/>
        <w:jc w:val="left"/>
      </w:pPr>
      <w:r w:rsidRPr="003E4D27">
        <w:t>South Korea: Gyuseog Han, Chonnam National University</w:t>
      </w:r>
    </w:p>
    <w:p w14:paraId="57CD256C" w14:textId="77777777" w:rsidR="003E4D27" w:rsidRPr="003E4D27" w:rsidRDefault="003E4D27" w:rsidP="003E4D27">
      <w:pPr>
        <w:spacing w:after="0" w:line="240" w:lineRule="auto"/>
        <w:jc w:val="left"/>
      </w:pPr>
      <w:r w:rsidRPr="003E4D27">
        <w:t>South Korea: Eunkook M. Suh, Yonsei University</w:t>
      </w:r>
    </w:p>
    <w:p w14:paraId="742197E4" w14:textId="77777777" w:rsidR="003E4D27" w:rsidRPr="003E4D27" w:rsidRDefault="003E4D27" w:rsidP="003E4D27">
      <w:pPr>
        <w:spacing w:after="0" w:line="240" w:lineRule="auto"/>
        <w:jc w:val="left"/>
      </w:pPr>
      <w:r w:rsidRPr="003E4D27">
        <w:t>South Korea: Soyeon Choi, Yonsei University</w:t>
      </w:r>
    </w:p>
    <w:p w14:paraId="47CD091A" w14:textId="77777777" w:rsidR="003E4D27" w:rsidRPr="003E4D27" w:rsidRDefault="003E4D27" w:rsidP="003E4D27">
      <w:pPr>
        <w:spacing w:after="0" w:line="240" w:lineRule="auto"/>
        <w:jc w:val="left"/>
        <w:rPr>
          <w:lang w:val="es-ES"/>
        </w:rPr>
      </w:pPr>
      <w:r w:rsidRPr="003E4D27">
        <w:rPr>
          <w:lang w:val="es-ES"/>
        </w:rPr>
        <w:t>Spain: Luis Oceja, Universidad Autónoma de Madrid</w:t>
      </w:r>
    </w:p>
    <w:p w14:paraId="1FE30D47" w14:textId="77777777" w:rsidR="003E4D27" w:rsidRPr="003E4D27" w:rsidRDefault="003E4D27" w:rsidP="003E4D27">
      <w:pPr>
        <w:spacing w:after="0" w:line="240" w:lineRule="auto"/>
        <w:jc w:val="left"/>
        <w:rPr>
          <w:lang w:val="es-ES"/>
        </w:rPr>
      </w:pPr>
      <w:r w:rsidRPr="003E4D27">
        <w:rPr>
          <w:lang w:val="es-ES"/>
        </w:rPr>
        <w:t>Spain: Sergio Villar, Universidad Autónoma de Madrid</w:t>
      </w:r>
    </w:p>
    <w:p w14:paraId="648126AC" w14:textId="77777777" w:rsidR="003E4D27" w:rsidRPr="003E4D27" w:rsidRDefault="003E4D27" w:rsidP="003E4D27">
      <w:pPr>
        <w:spacing w:after="0" w:line="240" w:lineRule="auto"/>
        <w:jc w:val="left"/>
      </w:pPr>
      <w:r w:rsidRPr="003E4D27">
        <w:t>Spain: David Gallardo-Pujol, University of Barcelona</w:t>
      </w:r>
    </w:p>
    <w:p w14:paraId="49B57212" w14:textId="77777777" w:rsidR="003E4D27" w:rsidRPr="003E4D27" w:rsidRDefault="003E4D27" w:rsidP="003E4D27">
      <w:pPr>
        <w:spacing w:after="0" w:line="240" w:lineRule="auto"/>
        <w:jc w:val="left"/>
      </w:pPr>
      <w:r w:rsidRPr="003E4D27">
        <w:t>Sweden: Zoltan Kekecs, Lund University</w:t>
      </w:r>
    </w:p>
    <w:p w14:paraId="50E5F15B" w14:textId="77777777" w:rsidR="003E4D27" w:rsidRPr="003E4D27" w:rsidRDefault="003E4D27" w:rsidP="003E4D27">
      <w:pPr>
        <w:spacing w:after="0" w:line="240" w:lineRule="auto"/>
        <w:jc w:val="left"/>
      </w:pPr>
      <w:r w:rsidRPr="003E4D27">
        <w:t>Sweden: Nils Arlinghaus, Lund University</w:t>
      </w:r>
    </w:p>
    <w:p w14:paraId="20692194" w14:textId="77777777" w:rsidR="003E4D27" w:rsidRPr="003E4D27" w:rsidRDefault="003E4D27" w:rsidP="003E4D27">
      <w:pPr>
        <w:spacing w:after="0" w:line="240" w:lineRule="auto"/>
        <w:jc w:val="left"/>
      </w:pPr>
      <w:r w:rsidRPr="003E4D27">
        <w:t>Sweden: Daniel P. Johnson, Lund University</w:t>
      </w:r>
    </w:p>
    <w:p w14:paraId="7C39E55B" w14:textId="77777777" w:rsidR="003E4D27" w:rsidRPr="003E4D27" w:rsidRDefault="003E4D27" w:rsidP="003E4D27">
      <w:pPr>
        <w:spacing w:after="0" w:line="240" w:lineRule="auto"/>
        <w:jc w:val="left"/>
      </w:pPr>
      <w:r w:rsidRPr="003E4D27">
        <w:t>Sweden: Alice Kathryn O’Donnell, Lund University</w:t>
      </w:r>
    </w:p>
    <w:p w14:paraId="5420D5E9" w14:textId="77777777" w:rsidR="003E4D27" w:rsidRPr="003E4D27" w:rsidRDefault="003E4D27" w:rsidP="003E4D27">
      <w:pPr>
        <w:spacing w:after="0" w:line="240" w:lineRule="auto"/>
        <w:jc w:val="left"/>
      </w:pPr>
      <w:r w:rsidRPr="003E4D27">
        <w:t>Switzerland: Janina Larissa Bühler, University of Basel</w:t>
      </w:r>
    </w:p>
    <w:p w14:paraId="0ABB1D3F" w14:textId="77777777" w:rsidR="003E4D27" w:rsidRPr="003E4D27" w:rsidRDefault="003E4D27" w:rsidP="003E4D27">
      <w:pPr>
        <w:spacing w:after="0" w:line="240" w:lineRule="auto"/>
        <w:jc w:val="left"/>
        <w:rPr>
          <w:lang w:val="es-ES"/>
        </w:rPr>
      </w:pPr>
      <w:r w:rsidRPr="003E4D27">
        <w:rPr>
          <w:lang w:val="es-ES"/>
        </w:rPr>
        <w:t>Switzerland: Clara Kulich, Université de Genève</w:t>
      </w:r>
    </w:p>
    <w:p w14:paraId="475DA5F2" w14:textId="77777777" w:rsidR="003E4D27" w:rsidRPr="003E4D27" w:rsidRDefault="003E4D27" w:rsidP="003E4D27">
      <w:pPr>
        <w:spacing w:after="0" w:line="240" w:lineRule="auto"/>
        <w:jc w:val="left"/>
        <w:rPr>
          <w:lang w:val="es-ES"/>
        </w:rPr>
      </w:pPr>
      <w:r w:rsidRPr="003E4D27">
        <w:rPr>
          <w:lang w:val="es-ES"/>
        </w:rPr>
        <w:t>Switzerland: Fabio Lorenzi-Cioldi, Université de Genève</w:t>
      </w:r>
    </w:p>
    <w:p w14:paraId="6EB40742" w14:textId="77777777" w:rsidR="003E4D27" w:rsidRPr="003E4D27" w:rsidRDefault="003E4D27" w:rsidP="003E4D27">
      <w:pPr>
        <w:spacing w:after="0" w:line="240" w:lineRule="auto"/>
        <w:jc w:val="left"/>
      </w:pPr>
      <w:r w:rsidRPr="003E4D27">
        <w:t>Switzerland: Mathias Allemand, University of Zurich</w:t>
      </w:r>
    </w:p>
    <w:p w14:paraId="0B8760B9" w14:textId="75075D43" w:rsidR="003E4D27" w:rsidRPr="003E4D27" w:rsidRDefault="003E4D27" w:rsidP="003E4D27">
      <w:pPr>
        <w:spacing w:after="0" w:line="240" w:lineRule="auto"/>
        <w:jc w:val="left"/>
      </w:pPr>
      <w:r w:rsidRPr="003E4D27">
        <w:t xml:space="preserve">Taiwan: Yen-Ping Chang, </w:t>
      </w:r>
      <w:r w:rsidR="00D45A29" w:rsidRPr="00D45A29">
        <w:t>Department of Educational Psychology and Counseling of National Tsing Hua University, Taiwan</w:t>
      </w:r>
    </w:p>
    <w:p w14:paraId="17AE2A58" w14:textId="77777777" w:rsidR="005B3B96" w:rsidRDefault="003E4D27" w:rsidP="003E4D27">
      <w:pPr>
        <w:spacing w:after="0" w:line="240" w:lineRule="auto"/>
        <w:jc w:val="left"/>
      </w:pPr>
      <w:r w:rsidRPr="003E4D27">
        <w:t xml:space="preserve">Taiwan: Weifang Lin, </w:t>
      </w:r>
      <w:r w:rsidR="005B3B96" w:rsidRPr="005B3B96">
        <w:t>Chung Yuan Christian University, Taiwan</w:t>
      </w:r>
    </w:p>
    <w:p w14:paraId="1681B8D6" w14:textId="7A2FD292" w:rsidR="003E4D27" w:rsidRPr="003E4D27" w:rsidRDefault="003E4D27" w:rsidP="003E4D27">
      <w:pPr>
        <w:spacing w:after="0" w:line="240" w:lineRule="auto"/>
        <w:jc w:val="left"/>
      </w:pPr>
      <w:r w:rsidRPr="003E4D27">
        <w:t>Thailand: Watcharaporn Boonyasiriwat, Chulalongkorn University</w:t>
      </w:r>
    </w:p>
    <w:p w14:paraId="099CB426" w14:textId="77777777" w:rsidR="003E4D27" w:rsidRPr="003E4D27" w:rsidRDefault="003E4D27" w:rsidP="003E4D27">
      <w:pPr>
        <w:spacing w:after="0" w:line="240" w:lineRule="auto"/>
        <w:jc w:val="left"/>
      </w:pPr>
      <w:r w:rsidRPr="003E4D27">
        <w:t>Turkey: Adil Saribay, Boğaziçi University</w:t>
      </w:r>
    </w:p>
    <w:p w14:paraId="5BB7D771" w14:textId="77777777" w:rsidR="003E4D27" w:rsidRPr="003E4D27" w:rsidRDefault="003E4D27" w:rsidP="003E4D27">
      <w:pPr>
        <w:spacing w:after="0" w:line="240" w:lineRule="auto"/>
        <w:jc w:val="left"/>
      </w:pPr>
      <w:r w:rsidRPr="003E4D27">
        <w:t>Turkey: Oya Somer, Cyprus International University</w:t>
      </w:r>
    </w:p>
    <w:p w14:paraId="36D0E863" w14:textId="77777777" w:rsidR="003E4D27" w:rsidRPr="003E4D27" w:rsidRDefault="003E4D27" w:rsidP="003E4D27">
      <w:pPr>
        <w:spacing w:after="0" w:line="240" w:lineRule="auto"/>
        <w:jc w:val="left"/>
      </w:pPr>
      <w:r w:rsidRPr="003E4D27">
        <w:t xml:space="preserve">Turkey: Pelin Karakus Akalin, Istinye University </w:t>
      </w:r>
    </w:p>
    <w:p w14:paraId="076FEBBF" w14:textId="77777777" w:rsidR="003E4D27" w:rsidRPr="003E4D27" w:rsidRDefault="003E4D27" w:rsidP="003E4D27">
      <w:pPr>
        <w:spacing w:after="0" w:line="240" w:lineRule="auto"/>
        <w:jc w:val="left"/>
      </w:pPr>
      <w:r w:rsidRPr="003E4D27">
        <w:t>Uganda: Peter Kakubeire Baguma, Makerere University</w:t>
      </w:r>
    </w:p>
    <w:p w14:paraId="6BB3A054" w14:textId="77777777" w:rsidR="003E4D27" w:rsidRPr="003E4D27" w:rsidRDefault="003E4D27" w:rsidP="003E4D27">
      <w:pPr>
        <w:spacing w:after="0" w:line="240" w:lineRule="auto"/>
        <w:jc w:val="left"/>
      </w:pPr>
      <w:r w:rsidRPr="003E4D27">
        <w:t>Ukraine: Alexander Vinogradov, Taras Shevchenko National University of Kyiv</w:t>
      </w:r>
    </w:p>
    <w:p w14:paraId="651A9B38" w14:textId="77777777" w:rsidR="003E4D27" w:rsidRPr="003E4D27" w:rsidRDefault="003E4D27" w:rsidP="003E4D27">
      <w:pPr>
        <w:spacing w:after="0" w:line="240" w:lineRule="auto"/>
        <w:jc w:val="left"/>
      </w:pPr>
      <w:r w:rsidRPr="003E4D27">
        <w:t>Ukraine: Larisa Zhuravlova, Zhytomyr Ivan Franko State University</w:t>
      </w:r>
    </w:p>
    <w:p w14:paraId="48C191FA" w14:textId="77777777" w:rsidR="003E4D27" w:rsidRPr="003E4D27" w:rsidRDefault="003E4D27" w:rsidP="003E4D27">
      <w:pPr>
        <w:spacing w:after="0" w:line="240" w:lineRule="auto"/>
        <w:jc w:val="left"/>
      </w:pPr>
      <w:r w:rsidRPr="003E4D27">
        <w:t>United Kingdom: Jason Rentfrow, University of Cambridge</w:t>
      </w:r>
    </w:p>
    <w:p w14:paraId="450A0D78" w14:textId="77777777" w:rsidR="003E4D27" w:rsidRPr="003E4D27" w:rsidRDefault="003E4D27" w:rsidP="003E4D27">
      <w:pPr>
        <w:spacing w:after="0" w:line="240" w:lineRule="auto"/>
        <w:jc w:val="left"/>
      </w:pPr>
      <w:r w:rsidRPr="003E4D27">
        <w:t>United Kingdom: Mark Conner, University of Leeds</w:t>
      </w:r>
    </w:p>
    <w:p w14:paraId="2DB392C8" w14:textId="77777777" w:rsidR="003E4D27" w:rsidRPr="003E4D27" w:rsidRDefault="003E4D27" w:rsidP="003E4D27">
      <w:pPr>
        <w:spacing w:after="0" w:line="240" w:lineRule="auto"/>
        <w:jc w:val="left"/>
      </w:pPr>
      <w:r w:rsidRPr="003E4D27">
        <w:lastRenderedPageBreak/>
        <w:t>United States, Alabama: Alexa Tullett, University of Alabama</w:t>
      </w:r>
    </w:p>
    <w:p w14:paraId="5D12C27E" w14:textId="77777777" w:rsidR="003E4D27" w:rsidRPr="003E4D27" w:rsidRDefault="003E4D27" w:rsidP="003E4D27">
      <w:pPr>
        <w:spacing w:after="0" w:line="240" w:lineRule="auto"/>
        <w:jc w:val="left"/>
      </w:pPr>
      <w:r w:rsidRPr="003E4D27">
        <w:t>United States, Connecticut: Nairán Ramírez-Esparza, University of Connecticut</w:t>
      </w:r>
    </w:p>
    <w:p w14:paraId="33BC52B0" w14:textId="77777777" w:rsidR="003E4D27" w:rsidRPr="003E4D27" w:rsidRDefault="003E4D27" w:rsidP="003E4D27">
      <w:pPr>
        <w:spacing w:after="0" w:line="240" w:lineRule="auto"/>
        <w:jc w:val="left"/>
      </w:pPr>
      <w:r w:rsidRPr="003E4D27">
        <w:t>United States, Idaho: Douglas E. Colman, Idaho State University</w:t>
      </w:r>
    </w:p>
    <w:p w14:paraId="5ABCE787" w14:textId="77777777" w:rsidR="003E4D27" w:rsidRPr="003E4D27" w:rsidRDefault="003E4D27" w:rsidP="003E4D27">
      <w:pPr>
        <w:spacing w:after="0" w:line="240" w:lineRule="auto"/>
        <w:jc w:val="left"/>
      </w:pPr>
      <w:r w:rsidRPr="003E4D27">
        <w:t>United States, Illinois: Joey T. Cheng, University of Illinois at Urbana-Champaign</w:t>
      </w:r>
    </w:p>
    <w:p w14:paraId="1C0B0BB9" w14:textId="77777777" w:rsidR="003E4D27" w:rsidRPr="003E4D27" w:rsidRDefault="003E4D27" w:rsidP="003E4D27">
      <w:pPr>
        <w:spacing w:after="0" w:line="240" w:lineRule="auto"/>
        <w:jc w:val="left"/>
      </w:pPr>
      <w:r w:rsidRPr="003E4D27">
        <w:t>United States, Texas: Eric Stocks, University of Texas, Tyler</w:t>
      </w:r>
    </w:p>
    <w:p w14:paraId="6ECD7E56" w14:textId="3650D10D" w:rsidR="003E4D27" w:rsidRDefault="003E4D27" w:rsidP="003E4D27">
      <w:pPr>
        <w:spacing w:after="0" w:line="240" w:lineRule="auto"/>
        <w:jc w:val="left"/>
      </w:pPr>
      <w:r w:rsidRPr="003E4D27">
        <w:t>Viet Nam: Huyen Thi Thu Bui, Hanoi National University of Education</w:t>
      </w:r>
    </w:p>
    <w:p w14:paraId="5570BC8F" w14:textId="4CD63614" w:rsidR="003F0AD8" w:rsidRDefault="003F0AD8" w:rsidP="003F0AD8">
      <w:pPr>
        <w:spacing w:after="0" w:line="240" w:lineRule="auto"/>
        <w:jc w:val="left"/>
      </w:pPr>
    </w:p>
    <w:p w14:paraId="50E57C93" w14:textId="682661C6" w:rsidR="00B3078B" w:rsidRDefault="00B3078B" w:rsidP="003F0AD8">
      <w:pPr>
        <w:spacing w:after="0" w:line="240" w:lineRule="auto"/>
        <w:jc w:val="left"/>
      </w:pPr>
      <w:r>
        <w:t>Group lead author: David Funder (funder@ucr.edu)</w:t>
      </w:r>
    </w:p>
    <w:p w14:paraId="19273218" w14:textId="77777777" w:rsidR="00B3078B" w:rsidRDefault="00B3078B" w:rsidP="003F0AD8">
      <w:pPr>
        <w:spacing w:after="0" w:line="240" w:lineRule="auto"/>
        <w:jc w:val="left"/>
      </w:pPr>
    </w:p>
    <w:p w14:paraId="47F5E386" w14:textId="77777777" w:rsidR="003F0AD8" w:rsidRPr="00750ACB" w:rsidRDefault="003F0AD8" w:rsidP="003F0AD8">
      <w:pPr>
        <w:spacing w:after="0" w:line="240" w:lineRule="auto"/>
        <w:jc w:val="left"/>
        <w:rPr>
          <w:sz w:val="20"/>
          <w:szCs w:val="20"/>
          <w:highlight w:val="white"/>
        </w:rPr>
      </w:pPr>
      <w:r w:rsidRPr="00750ACB">
        <w:rPr>
          <w:sz w:val="20"/>
          <w:szCs w:val="20"/>
          <w:highlight w:val="white"/>
        </w:rPr>
        <w:t>Funding Acknowledgement:</w:t>
      </w:r>
    </w:p>
    <w:p w14:paraId="3F266405" w14:textId="77777777" w:rsidR="003F0AD8" w:rsidRPr="00750ACB" w:rsidRDefault="003F0AD8" w:rsidP="003F0AD8">
      <w:pPr>
        <w:spacing w:after="0" w:line="240" w:lineRule="auto"/>
        <w:jc w:val="left"/>
        <w:rPr>
          <w:sz w:val="20"/>
          <w:szCs w:val="20"/>
          <w:highlight w:val="white"/>
        </w:rPr>
      </w:pPr>
      <w:r w:rsidRPr="00750ACB">
        <w:rPr>
          <w:sz w:val="20"/>
          <w:szCs w:val="20"/>
          <w:highlight w:val="white"/>
        </w:rPr>
        <w:t xml:space="preserve">The Czech Republic's participation in this research was supported by the grant 20-01214S by the Czech Science Foundation and by institutional research funding RVO: 68081740 from the Institute of Psychology, Czech Academy of Sciences. </w:t>
      </w:r>
    </w:p>
    <w:p w14:paraId="3ED7F393" w14:textId="77777777" w:rsidR="003F0AD8" w:rsidRPr="00750ACB" w:rsidRDefault="003F0AD8" w:rsidP="003F0AD8">
      <w:pPr>
        <w:spacing w:after="0" w:line="240" w:lineRule="auto"/>
        <w:jc w:val="left"/>
        <w:rPr>
          <w:sz w:val="20"/>
          <w:szCs w:val="20"/>
          <w:highlight w:val="white"/>
        </w:rPr>
      </w:pPr>
    </w:p>
    <w:p w14:paraId="7DA82D7C" w14:textId="77777777" w:rsidR="003F0AD8" w:rsidRPr="00750ACB" w:rsidRDefault="003F0AD8" w:rsidP="003F0AD8">
      <w:pPr>
        <w:spacing w:after="0" w:line="240" w:lineRule="auto"/>
        <w:jc w:val="left"/>
        <w:rPr>
          <w:sz w:val="20"/>
          <w:szCs w:val="20"/>
          <w:highlight w:val="white"/>
        </w:rPr>
      </w:pPr>
      <w:r w:rsidRPr="00750ACB">
        <w:rPr>
          <w:sz w:val="20"/>
          <w:szCs w:val="20"/>
          <w:highlight w:val="white"/>
        </w:rPr>
        <w:t>The International Situations Project is supported by National Science Foundation Grant BCS-1528131, David Funder, Principal Investigator. Any opinions, findings, and conclusions or recommendations expressed in this material are those of the individual researchers and do not necessarily reflect the views of the National Science Foundation. </w:t>
      </w:r>
    </w:p>
    <w:p w14:paraId="37E5DB25" w14:textId="77777777" w:rsidR="003F0AD8" w:rsidRPr="00750ACB" w:rsidRDefault="003F0AD8" w:rsidP="003F0AD8">
      <w:pPr>
        <w:spacing w:after="0" w:line="240" w:lineRule="auto"/>
        <w:jc w:val="left"/>
        <w:rPr>
          <w:sz w:val="20"/>
          <w:szCs w:val="20"/>
        </w:rPr>
      </w:pPr>
    </w:p>
    <w:p w14:paraId="21C61A91" w14:textId="0814DFE7" w:rsidR="003F0AD8" w:rsidRPr="00750ACB" w:rsidRDefault="003F0AD8" w:rsidP="003F0AD8">
      <w:pPr>
        <w:spacing w:after="0" w:line="240" w:lineRule="auto"/>
        <w:jc w:val="left"/>
        <w:rPr>
          <w:sz w:val="20"/>
          <w:szCs w:val="20"/>
        </w:rPr>
      </w:pPr>
      <w:r w:rsidRPr="00750ACB">
        <w:rPr>
          <w:sz w:val="20"/>
          <w:szCs w:val="20"/>
        </w:rPr>
        <w:t>Further support came from Center for Social Conflict and Cohesion Studies (15130009) and the Center for Intercultural and Indigenous Research (15110006) award to Roberto González.</w:t>
      </w:r>
    </w:p>
    <w:p w14:paraId="001E98D2" w14:textId="24FC7655" w:rsidR="00680F00" w:rsidRPr="007C6448" w:rsidRDefault="00680F00" w:rsidP="003E4D27">
      <w:pPr>
        <w:spacing w:line="259" w:lineRule="auto"/>
        <w:jc w:val="left"/>
        <w:rPr>
          <w:b/>
          <w:bCs/>
          <w:sz w:val="20"/>
          <w:szCs w:val="20"/>
        </w:rPr>
      </w:pPr>
      <w:r w:rsidRPr="007C6448">
        <w:rPr>
          <w:b/>
          <w:bCs/>
          <w:sz w:val="20"/>
          <w:szCs w:val="20"/>
        </w:rPr>
        <w:br w:type="page"/>
      </w:r>
    </w:p>
    <w:p w14:paraId="04546FC7" w14:textId="77777777" w:rsidR="003F0AD8" w:rsidRDefault="003F0AD8" w:rsidP="003E4D27">
      <w:pPr>
        <w:spacing w:line="259" w:lineRule="auto"/>
        <w:jc w:val="left"/>
        <w:rPr>
          <w:b/>
          <w:bCs/>
        </w:rPr>
      </w:pPr>
    </w:p>
    <w:p w14:paraId="3E6EA891" w14:textId="70802BD6" w:rsidR="0065539D" w:rsidRPr="00145353" w:rsidRDefault="0065539D" w:rsidP="0065539D">
      <w:pPr>
        <w:spacing w:after="0"/>
        <w:rPr>
          <w:b/>
          <w:bCs/>
        </w:rPr>
      </w:pPr>
      <w:r w:rsidRPr="0046669B">
        <w:rPr>
          <w:b/>
          <w:bCs/>
        </w:rPr>
        <w:t>References</w:t>
      </w:r>
    </w:p>
    <w:p w14:paraId="68174BA9" w14:textId="4ED2FEDD" w:rsidR="00056B18" w:rsidRPr="00056B18" w:rsidRDefault="00056B18" w:rsidP="00056B18">
      <w:pPr>
        <w:widowControl w:val="0"/>
        <w:autoSpaceDE w:val="0"/>
        <w:autoSpaceDN w:val="0"/>
        <w:adjustRightInd w:val="0"/>
        <w:spacing w:after="0"/>
        <w:ind w:left="480" w:hanging="480"/>
        <w:jc w:val="left"/>
        <w:rPr>
          <w:iCs/>
          <w:noProof/>
        </w:rPr>
      </w:pPr>
      <w:r w:rsidRPr="00056B18">
        <w:rPr>
          <w:iCs/>
          <w:noProof/>
        </w:rPr>
        <w:t xml:space="preserve">Baranski, E., Sweeny, K., Gardiner, G., Members of the International Situations Project, </w:t>
      </w:r>
      <w:r>
        <w:rPr>
          <w:iCs/>
          <w:noProof/>
        </w:rPr>
        <w:t xml:space="preserve">&amp; </w:t>
      </w:r>
      <w:r w:rsidRPr="00056B18">
        <w:rPr>
          <w:iCs/>
          <w:noProof/>
        </w:rPr>
        <w:t xml:space="preserve">Funder, D.C. (in press). International optimism: Correlates and consequences of dispositional optimism across 61 countries. </w:t>
      </w:r>
      <w:r w:rsidRPr="00056B18">
        <w:rPr>
          <w:i/>
          <w:noProof/>
        </w:rPr>
        <w:t>Journal of Personality</w:t>
      </w:r>
      <w:r w:rsidRPr="00056B18">
        <w:rPr>
          <w:iCs/>
          <w:noProof/>
        </w:rPr>
        <w:t>. https://doi.org/ 10.1111/jopy.12582.</w:t>
      </w:r>
    </w:p>
    <w:p w14:paraId="276FC72E" w14:textId="2AB3AED8" w:rsidR="0065539D" w:rsidRDefault="0065539D" w:rsidP="0065539D">
      <w:pPr>
        <w:pBdr>
          <w:top w:val="nil"/>
          <w:left w:val="nil"/>
          <w:bottom w:val="nil"/>
          <w:right w:val="nil"/>
          <w:between w:val="nil"/>
        </w:pBdr>
        <w:spacing w:after="0"/>
        <w:ind w:left="480" w:hanging="480"/>
        <w:jc w:val="left"/>
        <w:rPr>
          <w:color w:val="000000"/>
        </w:rPr>
      </w:pPr>
      <w:r w:rsidRPr="00A473EE">
        <w:rPr>
          <w:noProof/>
        </w:rPr>
        <w:t xml:space="preserve">Chen, H., Lai, K., He, L., &amp; Yu, R. (2020). Where </w:t>
      </w:r>
      <w:r>
        <w:rPr>
          <w:noProof/>
        </w:rPr>
        <w:t>y</w:t>
      </w:r>
      <w:r w:rsidRPr="00A473EE">
        <w:rPr>
          <w:noProof/>
        </w:rPr>
        <w:t xml:space="preserve">ou </w:t>
      </w:r>
      <w:r>
        <w:rPr>
          <w:noProof/>
        </w:rPr>
        <w:t>a</w:t>
      </w:r>
      <w:r w:rsidRPr="00A473EE">
        <w:rPr>
          <w:noProof/>
        </w:rPr>
        <w:t xml:space="preserve">re </w:t>
      </w:r>
      <w:r>
        <w:rPr>
          <w:noProof/>
        </w:rPr>
        <w:t>i</w:t>
      </w:r>
      <w:r w:rsidRPr="00A473EE">
        <w:rPr>
          <w:noProof/>
        </w:rPr>
        <w:t xml:space="preserve">s </w:t>
      </w:r>
      <w:r>
        <w:rPr>
          <w:noProof/>
        </w:rPr>
        <w:t>w</w:t>
      </w:r>
      <w:r w:rsidRPr="00A473EE">
        <w:rPr>
          <w:noProof/>
        </w:rPr>
        <w:t xml:space="preserve">ho </w:t>
      </w:r>
      <w:r>
        <w:rPr>
          <w:noProof/>
        </w:rPr>
        <w:t>y</w:t>
      </w:r>
      <w:r w:rsidRPr="00A473EE">
        <w:rPr>
          <w:noProof/>
        </w:rPr>
        <w:t xml:space="preserve">ou </w:t>
      </w:r>
      <w:r>
        <w:rPr>
          <w:noProof/>
        </w:rPr>
        <w:t>a</w:t>
      </w:r>
      <w:r w:rsidRPr="00A473EE">
        <w:rPr>
          <w:noProof/>
        </w:rPr>
        <w:t xml:space="preserve">re? The </w:t>
      </w:r>
      <w:r>
        <w:rPr>
          <w:noProof/>
        </w:rPr>
        <w:t>g</w:t>
      </w:r>
      <w:r w:rsidRPr="00A473EE">
        <w:rPr>
          <w:noProof/>
        </w:rPr>
        <w:t xml:space="preserve">eographical </w:t>
      </w:r>
      <w:r>
        <w:rPr>
          <w:noProof/>
        </w:rPr>
        <w:t>a</w:t>
      </w:r>
      <w:r w:rsidRPr="00A473EE">
        <w:rPr>
          <w:noProof/>
        </w:rPr>
        <w:t xml:space="preserve">ccount of </w:t>
      </w:r>
      <w:r>
        <w:rPr>
          <w:noProof/>
        </w:rPr>
        <w:t>p</w:t>
      </w:r>
      <w:r w:rsidRPr="00A473EE">
        <w:rPr>
          <w:noProof/>
        </w:rPr>
        <w:t xml:space="preserve">sychological </w:t>
      </w:r>
      <w:r>
        <w:rPr>
          <w:noProof/>
        </w:rPr>
        <w:t>p</w:t>
      </w:r>
      <w:r w:rsidRPr="00A473EE">
        <w:rPr>
          <w:noProof/>
        </w:rPr>
        <w:t xml:space="preserve">henomena. </w:t>
      </w:r>
      <w:r w:rsidRPr="00A473EE">
        <w:rPr>
          <w:i/>
          <w:iCs/>
          <w:noProof/>
        </w:rPr>
        <w:t>Frontiers in Psychology</w:t>
      </w:r>
      <w:r w:rsidRPr="00A473EE">
        <w:rPr>
          <w:noProof/>
        </w:rPr>
        <w:t xml:space="preserve">, </w:t>
      </w:r>
      <w:r w:rsidRPr="00A473EE">
        <w:rPr>
          <w:i/>
          <w:iCs/>
          <w:noProof/>
        </w:rPr>
        <w:t>11</w:t>
      </w:r>
      <w:r w:rsidRPr="00A473EE">
        <w:rPr>
          <w:noProof/>
        </w:rPr>
        <w:t xml:space="preserve">, 1–11. </w:t>
      </w:r>
      <w:hyperlink r:id="rId13" w:history="1">
        <w:r w:rsidR="00056B18" w:rsidRPr="00105090">
          <w:rPr>
            <w:rStyle w:val="Hyperlink"/>
            <w:noProof/>
          </w:rPr>
          <w:t>https://doi.org/10.3389/fpsyg.2020.00536</w:t>
        </w:r>
      </w:hyperlink>
      <w:r w:rsidRPr="00EB2892">
        <w:rPr>
          <w:color w:val="000000"/>
        </w:rPr>
        <w:t xml:space="preserve">Cheung, F. M., van de Vijver, F. J. R., &amp; Leong, F. T. L. (2011). </w:t>
      </w:r>
      <w:r>
        <w:rPr>
          <w:color w:val="000000"/>
        </w:rPr>
        <w:t xml:space="preserve">Toward a new approach to the study of personality in culture. </w:t>
      </w:r>
      <w:r>
        <w:rPr>
          <w:i/>
          <w:color w:val="000000"/>
        </w:rPr>
        <w:t>American Psychologist</w:t>
      </w:r>
      <w:r>
        <w:rPr>
          <w:color w:val="000000"/>
        </w:rPr>
        <w:t xml:space="preserve">, </w:t>
      </w:r>
      <w:r>
        <w:rPr>
          <w:i/>
          <w:color w:val="000000"/>
        </w:rPr>
        <w:t>66</w:t>
      </w:r>
      <w:r>
        <w:rPr>
          <w:color w:val="000000"/>
        </w:rPr>
        <w:t xml:space="preserve">, 593–603. </w:t>
      </w:r>
      <w:hyperlink r:id="rId14" w:history="1">
        <w:r w:rsidRPr="00263978">
          <w:rPr>
            <w:rStyle w:val="Hyperlink"/>
          </w:rPr>
          <w:t>https://doi.org/10.1037/a0022389</w:t>
        </w:r>
      </w:hyperlink>
    </w:p>
    <w:p w14:paraId="0638EDD5" w14:textId="14628543" w:rsidR="0065539D" w:rsidRDefault="0065539D" w:rsidP="0065539D">
      <w:pPr>
        <w:pBdr>
          <w:top w:val="nil"/>
          <w:left w:val="nil"/>
          <w:bottom w:val="nil"/>
          <w:right w:val="nil"/>
          <w:between w:val="nil"/>
        </w:pBdr>
        <w:spacing w:after="0"/>
        <w:ind w:left="480" w:hanging="480"/>
        <w:jc w:val="left"/>
      </w:pPr>
      <w:r>
        <w:rPr>
          <w:color w:val="000000"/>
        </w:rPr>
        <w:t xml:space="preserve">Central Intelligence Agency (2017). The World Factbook. Retrieved from </w:t>
      </w:r>
      <w:hyperlink r:id="rId15" w:history="1">
        <w:r>
          <w:rPr>
            <w:rStyle w:val="Hyperlink"/>
          </w:rPr>
          <w:t>https://www.cia.gov/library/publications/resources/the-world-factbook/fields/344rank.html</w:t>
        </w:r>
      </w:hyperlink>
      <w:r>
        <w:t>.</w:t>
      </w:r>
    </w:p>
    <w:p w14:paraId="229F175C" w14:textId="3313C79C" w:rsidR="00891507" w:rsidRDefault="00891507" w:rsidP="0065539D">
      <w:pPr>
        <w:pBdr>
          <w:top w:val="nil"/>
          <w:left w:val="nil"/>
          <w:bottom w:val="nil"/>
          <w:right w:val="nil"/>
          <w:between w:val="nil"/>
        </w:pBdr>
        <w:spacing w:after="0"/>
        <w:ind w:left="480" w:hanging="480"/>
        <w:jc w:val="left"/>
      </w:pPr>
      <w:r w:rsidRPr="00EB2892">
        <w:rPr>
          <w:lang w:val="es-ES"/>
        </w:rPr>
        <w:t xml:space="preserve">Costello, A. B., &amp; Osborne, J. (2005). </w:t>
      </w:r>
      <w:r w:rsidRPr="00891507">
        <w:t xml:space="preserve">Best practices in exploratory factor analysis: Four recommendations for getting the most from your analysis. </w:t>
      </w:r>
      <w:r w:rsidRPr="00891507">
        <w:rPr>
          <w:i/>
          <w:iCs/>
        </w:rPr>
        <w:t>Practical</w:t>
      </w:r>
      <w:r>
        <w:rPr>
          <w:i/>
          <w:iCs/>
        </w:rPr>
        <w:t xml:space="preserve"> A</w:t>
      </w:r>
      <w:r w:rsidRPr="00891507">
        <w:rPr>
          <w:i/>
          <w:iCs/>
        </w:rPr>
        <w:t xml:space="preserve">ssessment, </w:t>
      </w:r>
      <w:r>
        <w:rPr>
          <w:i/>
          <w:iCs/>
        </w:rPr>
        <w:t>R</w:t>
      </w:r>
      <w:r w:rsidRPr="00891507">
        <w:rPr>
          <w:i/>
          <w:iCs/>
        </w:rPr>
        <w:t xml:space="preserve">esearch, and </w:t>
      </w:r>
      <w:r>
        <w:rPr>
          <w:i/>
          <w:iCs/>
        </w:rPr>
        <w:t>E</w:t>
      </w:r>
      <w:r w:rsidRPr="00891507">
        <w:rPr>
          <w:i/>
          <w:iCs/>
        </w:rPr>
        <w:t>valuation</w:t>
      </w:r>
      <w:r w:rsidRPr="00891507">
        <w:t xml:space="preserve">, </w:t>
      </w:r>
      <w:r w:rsidRPr="00891507">
        <w:rPr>
          <w:i/>
          <w:iCs/>
        </w:rPr>
        <w:t>10</w:t>
      </w:r>
      <w:r w:rsidRPr="00891507">
        <w:t>, 7.</w:t>
      </w:r>
    </w:p>
    <w:p w14:paraId="5108A7BF" w14:textId="4B66EFD6" w:rsidR="0065539D" w:rsidRDefault="0065539D" w:rsidP="0065539D">
      <w:pPr>
        <w:pBdr>
          <w:top w:val="nil"/>
          <w:left w:val="nil"/>
          <w:bottom w:val="nil"/>
          <w:right w:val="nil"/>
          <w:between w:val="nil"/>
        </w:pBdr>
        <w:spacing w:after="0"/>
        <w:ind w:left="480" w:hanging="480"/>
        <w:jc w:val="left"/>
        <w:rPr>
          <w:color w:val="000000"/>
        </w:rPr>
      </w:pPr>
      <w:r w:rsidRPr="003F11CA">
        <w:rPr>
          <w:color w:val="000000"/>
        </w:rPr>
        <w:t xml:space="preserve">Delle Fave, A., Brdar., I., Wissing, M. P., Araujo, U., Castro Solano, A., …, Soosai-Nathan, L. (2016). Lay definitions of happiness across nations: The primacy of inner harmony and relational connectedness. </w:t>
      </w:r>
      <w:r w:rsidRPr="00F174F3">
        <w:rPr>
          <w:i/>
          <w:iCs/>
          <w:color w:val="000000"/>
        </w:rPr>
        <w:t>Frontiers in Psychology</w:t>
      </w:r>
      <w:r w:rsidRPr="003F11CA">
        <w:rPr>
          <w:color w:val="000000"/>
        </w:rPr>
        <w:t>, 7(30). doi: 10.3389/fpsyg.2016.00030</w:t>
      </w:r>
    </w:p>
    <w:p w14:paraId="470BB6F0" w14:textId="334FD18C" w:rsidR="00750ACB" w:rsidRPr="00750ACB" w:rsidRDefault="00750ACB" w:rsidP="0065539D">
      <w:pPr>
        <w:pBdr>
          <w:top w:val="nil"/>
          <w:left w:val="nil"/>
          <w:bottom w:val="nil"/>
          <w:right w:val="nil"/>
          <w:between w:val="nil"/>
        </w:pBdr>
        <w:spacing w:after="0"/>
        <w:ind w:left="480" w:hanging="480"/>
        <w:jc w:val="left"/>
      </w:pPr>
      <w:r w:rsidRPr="00750ACB">
        <w:rPr>
          <w:shd w:val="clear" w:color="auto" w:fill="FFFFFF"/>
        </w:rPr>
        <w:t>De Raad, B., Barelds, D. P., Levert, E., Ostendorf, F., Mlačić, B., Blas, L. D., ... &amp; Church, A. T. (2010). Only three factors of personality description are fully replicable across languages: A comparison of 14 trait taxonomies. </w:t>
      </w:r>
      <w:r w:rsidRPr="00750ACB">
        <w:rPr>
          <w:i/>
          <w:iCs/>
          <w:shd w:val="clear" w:color="auto" w:fill="FFFFFF"/>
        </w:rPr>
        <w:t>Journal of Personality and Social Psychology</w:t>
      </w:r>
      <w:r w:rsidRPr="00750ACB">
        <w:rPr>
          <w:shd w:val="clear" w:color="auto" w:fill="FFFFFF"/>
        </w:rPr>
        <w:t>, </w:t>
      </w:r>
      <w:r w:rsidRPr="00750ACB">
        <w:rPr>
          <w:i/>
          <w:iCs/>
          <w:shd w:val="clear" w:color="auto" w:fill="FFFFFF"/>
        </w:rPr>
        <w:t>98</w:t>
      </w:r>
      <w:r w:rsidRPr="00750ACB">
        <w:rPr>
          <w:shd w:val="clear" w:color="auto" w:fill="FFFFFF"/>
        </w:rPr>
        <w:t>, 160</w:t>
      </w:r>
      <w:r>
        <w:rPr>
          <w:shd w:val="clear" w:color="auto" w:fill="FFFFFF"/>
        </w:rPr>
        <w:t>-173</w:t>
      </w:r>
      <w:r w:rsidRPr="00750ACB">
        <w:rPr>
          <w:shd w:val="clear" w:color="auto" w:fill="FFFFFF"/>
        </w:rPr>
        <w:t>.</w:t>
      </w:r>
    </w:p>
    <w:p w14:paraId="54181A09"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lastRenderedPageBreak/>
        <w:t xml:space="preserve">Diener, E., Oishi, S., &amp; Ryan, K. L. (2013). Universals and cultural differences in the causes and structure of happiness: A multilevel review. In </w:t>
      </w:r>
      <w:r>
        <w:rPr>
          <w:i/>
          <w:color w:val="000000"/>
        </w:rPr>
        <w:t>Mental Well-Being: International Contributions to the Study of Positive Mental Health</w:t>
      </w:r>
      <w:r>
        <w:rPr>
          <w:color w:val="000000"/>
        </w:rPr>
        <w:t xml:space="preserve"> (pp. 153–176). </w:t>
      </w:r>
      <w:hyperlink r:id="rId16">
        <w:r>
          <w:rPr>
            <w:color w:val="000000"/>
          </w:rPr>
          <w:t>https://doi.org/10.1007/978-94-007-5195-8_1</w:t>
        </w:r>
      </w:hyperlink>
    </w:p>
    <w:p w14:paraId="3BABA855"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Du, H., King, R. B., &amp; Chi, P. (2017). Self-esteem and subjective well-being revisited: The roles of personal, relational, and collective self-esteem. </w:t>
      </w:r>
      <w:r>
        <w:rPr>
          <w:i/>
          <w:color w:val="000000"/>
        </w:rPr>
        <w:t>PLoS ONE</w:t>
      </w:r>
      <w:r>
        <w:rPr>
          <w:color w:val="000000"/>
        </w:rPr>
        <w:t xml:space="preserve">, </w:t>
      </w:r>
      <w:r>
        <w:rPr>
          <w:i/>
          <w:color w:val="000000"/>
        </w:rPr>
        <w:t>12</w:t>
      </w:r>
      <w:r>
        <w:rPr>
          <w:color w:val="000000"/>
        </w:rPr>
        <w:t xml:space="preserve">, 1–17. </w:t>
      </w:r>
      <w:hyperlink r:id="rId17" w:history="1">
        <w:r w:rsidRPr="00BA5416">
          <w:rPr>
            <w:rStyle w:val="Hyperlink"/>
          </w:rPr>
          <w:t>https://doi.org/10.1371/journal.pone.0183958</w:t>
        </w:r>
      </w:hyperlink>
    </w:p>
    <w:p w14:paraId="43658F48" w14:textId="77777777" w:rsidR="0065539D" w:rsidRDefault="0065539D" w:rsidP="0065539D">
      <w:pPr>
        <w:pBdr>
          <w:top w:val="nil"/>
          <w:left w:val="nil"/>
          <w:bottom w:val="nil"/>
          <w:right w:val="nil"/>
          <w:between w:val="nil"/>
        </w:pBdr>
        <w:spacing w:after="0"/>
        <w:ind w:left="480" w:hanging="480"/>
        <w:jc w:val="left"/>
        <w:rPr>
          <w:color w:val="000000"/>
        </w:rPr>
      </w:pPr>
      <w:r w:rsidRPr="00B07231">
        <w:rPr>
          <w:color w:val="000000"/>
        </w:rPr>
        <w:t xml:space="preserve">Flere, S., &amp; Lavrič, M. (2008). On the validity of cross-cultural social studies using student samples. </w:t>
      </w:r>
      <w:r w:rsidRPr="00F174F3">
        <w:rPr>
          <w:i/>
          <w:iCs/>
          <w:color w:val="000000"/>
        </w:rPr>
        <w:t>Field Methods</w:t>
      </w:r>
      <w:r w:rsidRPr="00B07231">
        <w:rPr>
          <w:color w:val="000000"/>
        </w:rPr>
        <w:t xml:space="preserve">, </w:t>
      </w:r>
      <w:r w:rsidRPr="00F174F3">
        <w:rPr>
          <w:i/>
          <w:iCs/>
          <w:color w:val="000000"/>
        </w:rPr>
        <w:t>20</w:t>
      </w:r>
      <w:r w:rsidRPr="00B07231">
        <w:rPr>
          <w:color w:val="000000"/>
        </w:rPr>
        <w:t>, 399-412.</w:t>
      </w:r>
      <w:r>
        <w:rPr>
          <w:color w:val="000000"/>
        </w:rPr>
        <w:t xml:space="preserve"> </w:t>
      </w:r>
    </w:p>
    <w:p w14:paraId="2A36A529" w14:textId="77777777" w:rsidR="0065539D" w:rsidRPr="00690EDB" w:rsidRDefault="0065539D" w:rsidP="0065539D">
      <w:pPr>
        <w:pBdr>
          <w:top w:val="nil"/>
          <w:left w:val="nil"/>
          <w:bottom w:val="nil"/>
          <w:right w:val="nil"/>
          <w:between w:val="nil"/>
        </w:pBdr>
        <w:spacing w:after="0"/>
        <w:ind w:left="480" w:hanging="480"/>
        <w:jc w:val="left"/>
        <w:rPr>
          <w:color w:val="000000"/>
        </w:rPr>
      </w:pPr>
      <w:r w:rsidRPr="00690EDB">
        <w:rPr>
          <w:color w:val="000000"/>
        </w:rPr>
        <w:t xml:space="preserve">Gardiner, G., Sauerberger, K., Members of the International Situations Project, &amp; Funder, D. (2019). Towards meaningful comparisons of personality in large-scale cross-cultural studies. In A. Realo (Ed.), </w:t>
      </w:r>
      <w:r w:rsidRPr="00690EDB">
        <w:rPr>
          <w:i/>
          <w:color w:val="000000"/>
        </w:rPr>
        <w:t>In praise of an inquisitive mind: A Festschrift in honor of Jüri Allik on the occasion of his 70</w:t>
      </w:r>
      <w:r w:rsidRPr="00690EDB">
        <w:rPr>
          <w:i/>
          <w:color w:val="000000"/>
          <w:vertAlign w:val="superscript"/>
        </w:rPr>
        <w:t>th</w:t>
      </w:r>
      <w:r w:rsidRPr="00690EDB">
        <w:rPr>
          <w:i/>
          <w:color w:val="000000"/>
        </w:rPr>
        <w:t xml:space="preserve"> birthday</w:t>
      </w:r>
      <w:r w:rsidRPr="00690EDB">
        <w:rPr>
          <w:iCs/>
          <w:color w:val="000000"/>
        </w:rPr>
        <w:t xml:space="preserve"> (pp. 123-139).</w:t>
      </w:r>
      <w:r w:rsidRPr="00690EDB">
        <w:rPr>
          <w:i/>
          <w:color w:val="000000"/>
        </w:rPr>
        <w:t xml:space="preserve"> </w:t>
      </w:r>
      <w:r w:rsidRPr="00690EDB">
        <w:rPr>
          <w:color w:val="000000"/>
        </w:rPr>
        <w:t>Tartu: University of Tartu Press.</w:t>
      </w:r>
    </w:p>
    <w:p w14:paraId="0D6ACDDF"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Gotise, P., &amp; Upadhyay, B. K. (2018). Happiness from ancient Indian perspective: Hitopadeśa. </w:t>
      </w:r>
      <w:r>
        <w:rPr>
          <w:i/>
          <w:color w:val="000000"/>
        </w:rPr>
        <w:t>Journal of Happiness Studies</w:t>
      </w:r>
      <w:r>
        <w:rPr>
          <w:color w:val="000000"/>
        </w:rPr>
        <w:t xml:space="preserve">, </w:t>
      </w:r>
      <w:r>
        <w:rPr>
          <w:i/>
          <w:color w:val="000000"/>
        </w:rPr>
        <w:t>19</w:t>
      </w:r>
      <w:r>
        <w:rPr>
          <w:color w:val="000000"/>
        </w:rPr>
        <w:t xml:space="preserve">, 863–879. </w:t>
      </w:r>
      <w:hyperlink r:id="rId18">
        <w:r>
          <w:rPr>
            <w:color w:val="000000"/>
          </w:rPr>
          <w:t>https://doi.org/10.1007/s10902-017-9853-2</w:t>
        </w:r>
      </w:hyperlink>
    </w:p>
    <w:p w14:paraId="55688B6C"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Henrich, J., Heine, S. J., &amp; Norenzayan, A. (2010). The weirdest people in the </w:t>
      </w:r>
      <w:proofErr w:type="gramStart"/>
      <w:r>
        <w:rPr>
          <w:color w:val="000000"/>
        </w:rPr>
        <w:t>world?.</w:t>
      </w:r>
      <w:proofErr w:type="gramEnd"/>
      <w:r>
        <w:rPr>
          <w:color w:val="000000"/>
        </w:rPr>
        <w:t xml:space="preserve"> </w:t>
      </w:r>
      <w:r>
        <w:rPr>
          <w:i/>
          <w:color w:val="000000"/>
        </w:rPr>
        <w:t>Behavioral and Brain Sciences</w:t>
      </w:r>
      <w:r>
        <w:rPr>
          <w:color w:val="000000"/>
        </w:rPr>
        <w:t xml:space="preserve">, </w:t>
      </w:r>
      <w:r>
        <w:rPr>
          <w:i/>
          <w:color w:val="000000"/>
        </w:rPr>
        <w:t>33</w:t>
      </w:r>
      <w:r>
        <w:rPr>
          <w:color w:val="000000"/>
        </w:rPr>
        <w:t>, 61-83.</w:t>
      </w:r>
    </w:p>
    <w:p w14:paraId="26B99CE8"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Hitokoto, H., &amp; Uchida, Y. (2014). Interdependent happiness: Theoretical importance and measurement validity. </w:t>
      </w:r>
      <w:r>
        <w:rPr>
          <w:i/>
          <w:color w:val="000000"/>
        </w:rPr>
        <w:t>Journal of Happiness Studies</w:t>
      </w:r>
      <w:r>
        <w:rPr>
          <w:color w:val="000000"/>
        </w:rPr>
        <w:t xml:space="preserve">, </w:t>
      </w:r>
      <w:r>
        <w:rPr>
          <w:i/>
          <w:color w:val="000000"/>
        </w:rPr>
        <w:t>16</w:t>
      </w:r>
      <w:r>
        <w:rPr>
          <w:color w:val="000000"/>
        </w:rPr>
        <w:t xml:space="preserve">, 211–239. </w:t>
      </w:r>
      <w:hyperlink r:id="rId19">
        <w:r>
          <w:rPr>
            <w:color w:val="000000"/>
          </w:rPr>
          <w:t>https://doi.org/10.1007/s10902-014-9505-8</w:t>
        </w:r>
      </w:hyperlink>
    </w:p>
    <w:p w14:paraId="39C52E9F" w14:textId="77777777" w:rsidR="0065539D" w:rsidRDefault="0065539D" w:rsidP="0065539D">
      <w:pPr>
        <w:pBdr>
          <w:top w:val="nil"/>
          <w:left w:val="nil"/>
          <w:bottom w:val="nil"/>
          <w:right w:val="nil"/>
          <w:between w:val="nil"/>
        </w:pBdr>
        <w:spacing w:after="0"/>
        <w:ind w:left="480" w:hanging="480"/>
        <w:jc w:val="left"/>
        <w:rPr>
          <w:color w:val="000000"/>
        </w:rPr>
      </w:pPr>
      <w:r w:rsidRPr="00F174F3">
        <w:rPr>
          <w:color w:val="000000"/>
        </w:rPr>
        <w:t xml:space="preserve">Krys, K., Zelenski, J. M., Capaldi, C. A., Park, J., van Tilburg, W., van Osch, Y., … </w:t>
      </w:r>
      <w:r>
        <w:rPr>
          <w:color w:val="000000"/>
        </w:rPr>
        <w:t>Uchida, Y. (2019). Putting the “We” into well-being: Using collectivism-themed measures of well-</w:t>
      </w:r>
      <w:r>
        <w:rPr>
          <w:color w:val="000000"/>
        </w:rPr>
        <w:lastRenderedPageBreak/>
        <w:t xml:space="preserve">being attenuates well-being’s association with individualism. </w:t>
      </w:r>
      <w:r>
        <w:rPr>
          <w:i/>
          <w:color w:val="000000"/>
        </w:rPr>
        <w:t>Asian Journal of Social Psychology</w:t>
      </w:r>
      <w:r>
        <w:rPr>
          <w:color w:val="000000"/>
        </w:rPr>
        <w:t>. https://doi.org/10.1111/ajsp.12364</w:t>
      </w:r>
    </w:p>
    <w:p w14:paraId="5C9A6865"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Layous, K., Lee, H., Choi, I., &amp; Lyubomirsky, S. (2013). Culture matters when designing a successful happiness-increasing activity: A comparison of the United States and South Korea. </w:t>
      </w:r>
      <w:r>
        <w:rPr>
          <w:i/>
          <w:color w:val="000000"/>
        </w:rPr>
        <w:t>Journal of Cross-Cultural Psychology</w:t>
      </w:r>
      <w:r>
        <w:rPr>
          <w:color w:val="000000"/>
        </w:rPr>
        <w:t xml:space="preserve">, </w:t>
      </w:r>
      <w:r>
        <w:rPr>
          <w:i/>
          <w:color w:val="000000"/>
        </w:rPr>
        <w:t>44</w:t>
      </w:r>
      <w:r>
        <w:rPr>
          <w:color w:val="000000"/>
        </w:rPr>
        <w:t>, 1294-1303.</w:t>
      </w:r>
    </w:p>
    <w:p w14:paraId="2AA3D458" w14:textId="77777777" w:rsidR="0065539D" w:rsidRDefault="0065539D" w:rsidP="0065539D">
      <w:pPr>
        <w:pBdr>
          <w:top w:val="nil"/>
          <w:left w:val="nil"/>
          <w:bottom w:val="nil"/>
          <w:right w:val="nil"/>
          <w:between w:val="nil"/>
        </w:pBdr>
        <w:spacing w:after="0"/>
        <w:ind w:left="480" w:hanging="480"/>
        <w:jc w:val="left"/>
        <w:rPr>
          <w:color w:val="000000"/>
        </w:rPr>
      </w:pPr>
      <w:r w:rsidRPr="00511B9F">
        <w:rPr>
          <w:color w:val="000000"/>
        </w:rPr>
        <w:t xml:space="preserve">Lee, D. I., Gardiner, G., Baranski, E., </w:t>
      </w:r>
      <w:r>
        <w:rPr>
          <w:color w:val="000000"/>
        </w:rPr>
        <w:t xml:space="preserve">Members of the International Situations Project, </w:t>
      </w:r>
      <w:r w:rsidRPr="00511B9F">
        <w:rPr>
          <w:color w:val="000000"/>
        </w:rPr>
        <w:t>&amp; Funder, D. C. (</w:t>
      </w:r>
      <w:r>
        <w:rPr>
          <w:color w:val="000000"/>
        </w:rPr>
        <w:t>in press</w:t>
      </w:r>
      <w:r w:rsidRPr="00511B9F">
        <w:rPr>
          <w:color w:val="000000"/>
        </w:rPr>
        <w:t>). Situational experience around the</w:t>
      </w:r>
      <w:r>
        <w:rPr>
          <w:color w:val="000000"/>
        </w:rPr>
        <w:t xml:space="preserve"> </w:t>
      </w:r>
      <w:r w:rsidRPr="00511B9F">
        <w:rPr>
          <w:color w:val="000000"/>
        </w:rPr>
        <w:t xml:space="preserve">world: A replication and extension in 62 countries. </w:t>
      </w:r>
      <w:r w:rsidRPr="00511B9F">
        <w:rPr>
          <w:i/>
          <w:iCs/>
          <w:color w:val="000000"/>
        </w:rPr>
        <w:t>Journal of Personality</w:t>
      </w:r>
      <w:r>
        <w:rPr>
          <w:color w:val="000000"/>
        </w:rPr>
        <w:t xml:space="preserve">. </w:t>
      </w:r>
      <w:r w:rsidRPr="00511B9F">
        <w:rPr>
          <w:color w:val="000000"/>
        </w:rPr>
        <w:t>https://doi.org/10.1111/jopy.12558</w:t>
      </w:r>
    </w:p>
    <w:p w14:paraId="6A15EBCA"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Li, J., Kim, C. Y., Karp, S. R., &amp; Takooshian, H. (2012). A data-based profile of US social psychology journals: 25 years later. </w:t>
      </w:r>
      <w:r>
        <w:rPr>
          <w:i/>
          <w:color w:val="000000"/>
        </w:rPr>
        <w:t>International Psychology Bulletin</w:t>
      </w:r>
      <w:r>
        <w:rPr>
          <w:color w:val="000000"/>
        </w:rPr>
        <w:t xml:space="preserve">, </w:t>
      </w:r>
      <w:r>
        <w:rPr>
          <w:i/>
          <w:color w:val="000000"/>
        </w:rPr>
        <w:t>16</w:t>
      </w:r>
      <w:r>
        <w:rPr>
          <w:color w:val="000000"/>
        </w:rPr>
        <w:t>, 23-29.</w:t>
      </w:r>
    </w:p>
    <w:p w14:paraId="66038A95" w14:textId="37B8B8C2"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Lyubomirsky, S., &amp; Lepper, H. S. (1999). A measure of subjective happiness: Preliminary reliability and construct validation. </w:t>
      </w:r>
      <w:r>
        <w:rPr>
          <w:i/>
          <w:color w:val="000000"/>
        </w:rPr>
        <w:t>Social Indicators Research</w:t>
      </w:r>
      <w:r>
        <w:rPr>
          <w:color w:val="000000"/>
        </w:rPr>
        <w:t xml:space="preserve">, </w:t>
      </w:r>
      <w:r>
        <w:rPr>
          <w:i/>
          <w:color w:val="000000"/>
        </w:rPr>
        <w:t>46</w:t>
      </w:r>
      <w:r>
        <w:rPr>
          <w:color w:val="000000"/>
        </w:rPr>
        <w:t>, 137-155.</w:t>
      </w:r>
    </w:p>
    <w:p w14:paraId="4494AF1C" w14:textId="67522BE3" w:rsidR="008D3D3B" w:rsidRDefault="008D3D3B" w:rsidP="0065539D">
      <w:pPr>
        <w:pBdr>
          <w:top w:val="nil"/>
          <w:left w:val="nil"/>
          <w:bottom w:val="nil"/>
          <w:right w:val="nil"/>
          <w:between w:val="nil"/>
        </w:pBdr>
        <w:spacing w:after="0"/>
        <w:ind w:left="480" w:hanging="480"/>
        <w:jc w:val="left"/>
        <w:rPr>
          <w:color w:val="000000"/>
        </w:rPr>
      </w:pPr>
      <w:r w:rsidRPr="008D3D3B">
        <w:rPr>
          <w:color w:val="000000"/>
        </w:rPr>
        <w:t xml:space="preserve">McCrae, R. R., &amp; Terracciano, A. (2005). Personality profiles of cultures: Aggregate personality traits. </w:t>
      </w:r>
      <w:r w:rsidR="00290169">
        <w:rPr>
          <w:i/>
          <w:color w:val="000000"/>
        </w:rPr>
        <w:t>Journal of Personality and Social Psychology</w:t>
      </w:r>
      <w:r w:rsidRPr="008D3D3B">
        <w:rPr>
          <w:color w:val="000000"/>
        </w:rPr>
        <w:t xml:space="preserve">, </w:t>
      </w:r>
      <w:r w:rsidRPr="00290169">
        <w:rPr>
          <w:i/>
          <w:iCs/>
          <w:color w:val="000000"/>
        </w:rPr>
        <w:t>89</w:t>
      </w:r>
      <w:r w:rsidRPr="008D3D3B">
        <w:rPr>
          <w:color w:val="000000"/>
        </w:rPr>
        <w:t>, 407</w:t>
      </w:r>
      <w:r w:rsidR="00290169">
        <w:rPr>
          <w:color w:val="000000"/>
        </w:rPr>
        <w:t>-425</w:t>
      </w:r>
      <w:r w:rsidRPr="008D3D3B">
        <w:rPr>
          <w:color w:val="000000"/>
        </w:rPr>
        <w:t>.</w:t>
      </w:r>
    </w:p>
    <w:p w14:paraId="566A9641" w14:textId="3AE044B8" w:rsidR="00891507" w:rsidRDefault="00891507" w:rsidP="0065539D">
      <w:pPr>
        <w:pBdr>
          <w:top w:val="nil"/>
          <w:left w:val="nil"/>
          <w:bottom w:val="nil"/>
          <w:right w:val="nil"/>
          <w:between w:val="nil"/>
        </w:pBdr>
        <w:spacing w:after="0"/>
        <w:ind w:left="480" w:hanging="480"/>
        <w:jc w:val="left"/>
        <w:rPr>
          <w:color w:val="000000"/>
        </w:rPr>
      </w:pPr>
      <w:r w:rsidRPr="00891507">
        <w:rPr>
          <w:color w:val="000000"/>
        </w:rPr>
        <w:t>McDonald, R. P. (1999). Test theory: A unified treatment. Mahwah, N.J.: L. Erlbaum Associates.</w:t>
      </w:r>
    </w:p>
    <w:p w14:paraId="30E86D0B"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Myers, D. G., &amp; Diener, E. (1995). Who is </w:t>
      </w:r>
      <w:proofErr w:type="gramStart"/>
      <w:r>
        <w:rPr>
          <w:color w:val="000000"/>
        </w:rPr>
        <w:t>happy?.</w:t>
      </w:r>
      <w:proofErr w:type="gramEnd"/>
      <w:r>
        <w:rPr>
          <w:color w:val="000000"/>
        </w:rPr>
        <w:t xml:space="preserve"> </w:t>
      </w:r>
      <w:r>
        <w:rPr>
          <w:i/>
          <w:color w:val="000000"/>
        </w:rPr>
        <w:t>Psychological Science</w:t>
      </w:r>
      <w:r>
        <w:rPr>
          <w:color w:val="000000"/>
        </w:rPr>
        <w:t xml:space="preserve">, </w:t>
      </w:r>
      <w:r>
        <w:rPr>
          <w:i/>
          <w:color w:val="000000"/>
        </w:rPr>
        <w:t>6</w:t>
      </w:r>
      <w:r>
        <w:rPr>
          <w:color w:val="000000"/>
        </w:rPr>
        <w:t>, 10-19.</w:t>
      </w:r>
    </w:p>
    <w:p w14:paraId="5FABFC96" w14:textId="77777777" w:rsidR="0065539D" w:rsidRDefault="0065539D" w:rsidP="0065539D">
      <w:pPr>
        <w:pBdr>
          <w:top w:val="nil"/>
          <w:left w:val="nil"/>
          <w:bottom w:val="nil"/>
          <w:right w:val="nil"/>
          <w:between w:val="nil"/>
        </w:pBdr>
        <w:spacing w:after="0"/>
        <w:ind w:left="480" w:hanging="480"/>
        <w:jc w:val="left"/>
        <w:rPr>
          <w:color w:val="000000"/>
        </w:rPr>
      </w:pPr>
      <w:r w:rsidRPr="00814762">
        <w:rPr>
          <w:color w:val="000000"/>
        </w:rPr>
        <w:t xml:space="preserve">Muthukrishna, M., Bell, A. V., Henrich, J., Curtin, C. M., Gedranovich, A., McInerney, J., &amp; Thue, B. (2020). Beyond Western, Educated, Industrial, Rich, and Democratic (WEIRD) </w:t>
      </w:r>
      <w:r>
        <w:rPr>
          <w:color w:val="000000"/>
        </w:rPr>
        <w:t>p</w:t>
      </w:r>
      <w:r w:rsidRPr="00814762">
        <w:rPr>
          <w:color w:val="000000"/>
        </w:rPr>
        <w:t xml:space="preserve">sychology: Measuring and </w:t>
      </w:r>
      <w:r>
        <w:rPr>
          <w:color w:val="000000"/>
        </w:rPr>
        <w:t>m</w:t>
      </w:r>
      <w:r w:rsidRPr="00814762">
        <w:rPr>
          <w:color w:val="000000"/>
        </w:rPr>
        <w:t xml:space="preserve">apping </w:t>
      </w:r>
      <w:r>
        <w:rPr>
          <w:color w:val="000000"/>
        </w:rPr>
        <w:t>s</w:t>
      </w:r>
      <w:r w:rsidRPr="00814762">
        <w:rPr>
          <w:color w:val="000000"/>
        </w:rPr>
        <w:t xml:space="preserve">cales of </w:t>
      </w:r>
      <w:r>
        <w:rPr>
          <w:color w:val="000000"/>
        </w:rPr>
        <w:t>c</w:t>
      </w:r>
      <w:r w:rsidRPr="00814762">
        <w:rPr>
          <w:color w:val="000000"/>
        </w:rPr>
        <w:t xml:space="preserve">ultural and </w:t>
      </w:r>
      <w:r>
        <w:rPr>
          <w:color w:val="000000"/>
        </w:rPr>
        <w:t>ps</w:t>
      </w:r>
      <w:r w:rsidRPr="00814762">
        <w:rPr>
          <w:color w:val="000000"/>
        </w:rPr>
        <w:t xml:space="preserve">ychological </w:t>
      </w:r>
      <w:r>
        <w:rPr>
          <w:color w:val="000000"/>
        </w:rPr>
        <w:t>d</w:t>
      </w:r>
      <w:r w:rsidRPr="00814762">
        <w:rPr>
          <w:color w:val="000000"/>
        </w:rPr>
        <w:t xml:space="preserve">istance. </w:t>
      </w:r>
      <w:r w:rsidRPr="00814762">
        <w:rPr>
          <w:i/>
          <w:iCs/>
          <w:color w:val="000000"/>
        </w:rPr>
        <w:t>Psychological Science</w:t>
      </w:r>
      <w:r w:rsidRPr="00814762">
        <w:rPr>
          <w:color w:val="000000"/>
        </w:rPr>
        <w:t xml:space="preserve">, 31, 678–701. https://doi.org/10.1177/0956797620916782 </w:t>
      </w:r>
    </w:p>
    <w:p w14:paraId="6405EC2B" w14:textId="77777777" w:rsidR="0065539D" w:rsidRPr="00BE5727" w:rsidRDefault="0065539D" w:rsidP="0065539D">
      <w:pPr>
        <w:widowControl w:val="0"/>
        <w:autoSpaceDE w:val="0"/>
        <w:autoSpaceDN w:val="0"/>
        <w:adjustRightInd w:val="0"/>
        <w:spacing w:after="0"/>
        <w:ind w:left="480" w:hanging="480"/>
        <w:jc w:val="left"/>
        <w:rPr>
          <w:noProof/>
        </w:rPr>
      </w:pPr>
      <w:r w:rsidRPr="00A473EE">
        <w:rPr>
          <w:noProof/>
        </w:rPr>
        <w:t xml:space="preserve">Oishi, S. (2014). Socioecological Psychology. </w:t>
      </w:r>
      <w:r w:rsidRPr="00A473EE">
        <w:rPr>
          <w:i/>
          <w:iCs/>
          <w:noProof/>
        </w:rPr>
        <w:t>Annual Review of Psychology</w:t>
      </w:r>
      <w:r w:rsidRPr="00A473EE">
        <w:rPr>
          <w:noProof/>
        </w:rPr>
        <w:t xml:space="preserve">, </w:t>
      </w:r>
      <w:r w:rsidRPr="00A473EE">
        <w:rPr>
          <w:i/>
          <w:iCs/>
          <w:noProof/>
        </w:rPr>
        <w:t>65</w:t>
      </w:r>
      <w:r w:rsidRPr="00A473EE">
        <w:rPr>
          <w:noProof/>
        </w:rPr>
        <w:t>, 581–609. https://doi.org/10.1146/annurev-psych-030413-152156</w:t>
      </w:r>
    </w:p>
    <w:p w14:paraId="52421A1E"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lastRenderedPageBreak/>
        <w:t xml:space="preserve">Oishi, S. (2018). Culture and subjective well-being: Conceptual and measurement issues. In E. Diener, S. Oishi, &amp; L. Tay (Eds.), </w:t>
      </w:r>
      <w:r>
        <w:rPr>
          <w:i/>
          <w:color w:val="000000"/>
        </w:rPr>
        <w:t>Handbook of well-being</w:t>
      </w:r>
      <w:r>
        <w:rPr>
          <w:color w:val="000000"/>
        </w:rPr>
        <w:t xml:space="preserve">. Salt Lake City, UT: DEF Publishers. </w:t>
      </w:r>
    </w:p>
    <w:p w14:paraId="4CF0CB56"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Oishi, S., Diener, E., Choi, D.-W., Kim-Prieto, C., &amp; Choi, I. (2007). The dynamics of daily events and well-being across cultures: When less is more. </w:t>
      </w:r>
      <w:r>
        <w:rPr>
          <w:i/>
          <w:color w:val="000000"/>
        </w:rPr>
        <w:t>Journal of Personality and Social Psychology</w:t>
      </w:r>
      <w:r>
        <w:rPr>
          <w:color w:val="000000"/>
        </w:rPr>
        <w:t xml:space="preserve">, </w:t>
      </w:r>
      <w:r>
        <w:rPr>
          <w:i/>
          <w:color w:val="000000"/>
        </w:rPr>
        <w:t>93</w:t>
      </w:r>
      <w:r>
        <w:rPr>
          <w:color w:val="000000"/>
        </w:rPr>
        <w:t>, 685–698. https://doi.org/10.1037/0022-3514.93.4.685</w:t>
      </w:r>
    </w:p>
    <w:p w14:paraId="4CB5854C"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Oishi, S., &amp; Gilbert, E. A. (2016). Current and future directions in culture and happiness research. </w:t>
      </w:r>
      <w:r>
        <w:rPr>
          <w:i/>
          <w:color w:val="000000"/>
        </w:rPr>
        <w:t>Current Opinion in Psychology</w:t>
      </w:r>
      <w:r>
        <w:rPr>
          <w:color w:val="000000"/>
        </w:rPr>
        <w:t xml:space="preserve">, </w:t>
      </w:r>
      <w:r>
        <w:rPr>
          <w:i/>
          <w:color w:val="000000"/>
        </w:rPr>
        <w:t>8</w:t>
      </w:r>
      <w:r>
        <w:rPr>
          <w:color w:val="000000"/>
        </w:rPr>
        <w:t xml:space="preserve">, 54–58. </w:t>
      </w:r>
      <w:hyperlink r:id="rId20">
        <w:r>
          <w:rPr>
            <w:color w:val="000000"/>
          </w:rPr>
          <w:t>https://doi.org/10.1016/j.copsyc.2015.10.005</w:t>
        </w:r>
      </w:hyperlink>
    </w:p>
    <w:p w14:paraId="6AC79364" w14:textId="29A677D8" w:rsidR="0065539D" w:rsidRDefault="0065539D" w:rsidP="0065539D">
      <w:pPr>
        <w:widowControl w:val="0"/>
        <w:autoSpaceDE w:val="0"/>
        <w:autoSpaceDN w:val="0"/>
        <w:adjustRightInd w:val="0"/>
        <w:spacing w:after="0"/>
        <w:ind w:left="480" w:hanging="480"/>
        <w:jc w:val="left"/>
        <w:rPr>
          <w:noProof/>
        </w:rPr>
      </w:pPr>
      <w:r w:rsidRPr="00A473EE">
        <w:rPr>
          <w:noProof/>
        </w:rPr>
        <w:t xml:space="preserve">Revelle, W., &amp; Condon, D. M. (2019). Reliability from α to ω: A tutorial. </w:t>
      </w:r>
      <w:r w:rsidRPr="00A473EE">
        <w:rPr>
          <w:i/>
          <w:iCs/>
          <w:noProof/>
        </w:rPr>
        <w:t>Psychological Assessment</w:t>
      </w:r>
      <w:r w:rsidRPr="00A473EE">
        <w:rPr>
          <w:noProof/>
        </w:rPr>
        <w:t xml:space="preserve">, </w:t>
      </w:r>
      <w:r w:rsidRPr="00A473EE">
        <w:rPr>
          <w:i/>
          <w:iCs/>
          <w:noProof/>
        </w:rPr>
        <w:t>31</w:t>
      </w:r>
      <w:r w:rsidRPr="00A473EE">
        <w:rPr>
          <w:noProof/>
        </w:rPr>
        <w:t xml:space="preserve">, 1395–1411. </w:t>
      </w:r>
      <w:hyperlink r:id="rId21" w:history="1">
        <w:r w:rsidR="002D6D1D" w:rsidRPr="00BC57D2">
          <w:rPr>
            <w:rStyle w:val="Hyperlink"/>
            <w:noProof/>
          </w:rPr>
          <w:t>https://doi.org/10.1037/pas0000754</w:t>
        </w:r>
      </w:hyperlink>
    </w:p>
    <w:p w14:paraId="424DA4EA" w14:textId="2E1CE1A6" w:rsidR="002D6D1D" w:rsidRPr="00BE5727" w:rsidRDefault="002D6D1D" w:rsidP="0065539D">
      <w:pPr>
        <w:widowControl w:val="0"/>
        <w:autoSpaceDE w:val="0"/>
        <w:autoSpaceDN w:val="0"/>
        <w:adjustRightInd w:val="0"/>
        <w:spacing w:after="0"/>
        <w:ind w:left="480" w:hanging="480"/>
        <w:jc w:val="left"/>
        <w:rPr>
          <w:noProof/>
        </w:rPr>
      </w:pPr>
      <w:r w:rsidRPr="002D6D1D">
        <w:rPr>
          <w:noProof/>
        </w:rPr>
        <w:t xml:space="preserve">Ruby, M. B., Falk, C. F., Heine, S. J., Villa, C., &amp; Silberstein, O. (2012). Not all collectivisms are equal: Opposing preferences for ideal affect between East Asians and Mexicans. </w:t>
      </w:r>
      <w:r w:rsidRPr="002D6D1D">
        <w:rPr>
          <w:i/>
          <w:iCs/>
          <w:noProof/>
        </w:rPr>
        <w:t>Emotion</w:t>
      </w:r>
      <w:r w:rsidRPr="002D6D1D">
        <w:rPr>
          <w:noProof/>
        </w:rPr>
        <w:t xml:space="preserve">, </w:t>
      </w:r>
      <w:r w:rsidRPr="002D6D1D">
        <w:rPr>
          <w:i/>
          <w:iCs/>
          <w:noProof/>
        </w:rPr>
        <w:t>12</w:t>
      </w:r>
      <w:r w:rsidRPr="002D6D1D">
        <w:rPr>
          <w:noProof/>
        </w:rPr>
        <w:t>, 1206–1209. https://doi.org/10.1037/a0029118</w:t>
      </w:r>
    </w:p>
    <w:p w14:paraId="056E5AEB" w14:textId="77777777" w:rsidR="0065539D" w:rsidRDefault="0065539D" w:rsidP="0065539D">
      <w:pPr>
        <w:pBdr>
          <w:top w:val="nil"/>
          <w:left w:val="nil"/>
          <w:bottom w:val="nil"/>
          <w:right w:val="nil"/>
          <w:between w:val="nil"/>
        </w:pBdr>
        <w:spacing w:after="0"/>
        <w:ind w:left="480" w:hanging="480"/>
        <w:jc w:val="left"/>
        <w:rPr>
          <w:color w:val="000000"/>
        </w:rPr>
      </w:pPr>
      <w:r w:rsidRPr="00895613">
        <w:rPr>
          <w:color w:val="000000"/>
        </w:rPr>
        <w:t xml:space="preserve">Schwartz, S. (2006). A theory of cultural value orientations: Explication and applications. </w:t>
      </w:r>
      <w:r w:rsidRPr="00F174F3">
        <w:rPr>
          <w:i/>
          <w:iCs/>
          <w:color w:val="000000"/>
        </w:rPr>
        <w:t>Comparative</w:t>
      </w:r>
      <w:r w:rsidRPr="00895613">
        <w:rPr>
          <w:color w:val="000000"/>
        </w:rPr>
        <w:t xml:space="preserve"> </w:t>
      </w:r>
      <w:r w:rsidRPr="00F174F3">
        <w:rPr>
          <w:i/>
          <w:iCs/>
          <w:color w:val="000000"/>
        </w:rPr>
        <w:t>Sociology</w:t>
      </w:r>
      <w:r w:rsidRPr="00895613">
        <w:rPr>
          <w:color w:val="000000"/>
        </w:rPr>
        <w:t xml:space="preserve">, </w:t>
      </w:r>
      <w:r w:rsidRPr="00F174F3">
        <w:rPr>
          <w:i/>
          <w:iCs/>
          <w:color w:val="000000"/>
        </w:rPr>
        <w:t>5</w:t>
      </w:r>
      <w:r w:rsidRPr="00895613">
        <w:rPr>
          <w:color w:val="000000"/>
        </w:rPr>
        <w:t>, 137-182.</w:t>
      </w:r>
    </w:p>
    <w:p w14:paraId="75A298F3" w14:textId="77777777" w:rsidR="0065539D" w:rsidRDefault="0065539D" w:rsidP="0065539D">
      <w:pPr>
        <w:pBdr>
          <w:top w:val="nil"/>
          <w:left w:val="nil"/>
          <w:bottom w:val="nil"/>
          <w:right w:val="nil"/>
          <w:between w:val="nil"/>
        </w:pBdr>
        <w:spacing w:after="0"/>
        <w:ind w:left="480" w:hanging="480"/>
        <w:jc w:val="left"/>
        <w:rPr>
          <w:color w:val="000000"/>
        </w:rPr>
      </w:pPr>
      <w:r w:rsidRPr="00422E5E">
        <w:rPr>
          <w:color w:val="000000"/>
        </w:rPr>
        <w:t>Schwartz, S. (2008). The 7 Schwartz cultural value orientation scores for 80 countries. 10.13140/RG.2.1.3313.3040.</w:t>
      </w:r>
    </w:p>
    <w:p w14:paraId="79D2893A" w14:textId="77777777" w:rsidR="0065539D" w:rsidRDefault="0065539D" w:rsidP="0065539D">
      <w:pPr>
        <w:pBdr>
          <w:top w:val="nil"/>
          <w:left w:val="nil"/>
          <w:bottom w:val="nil"/>
          <w:right w:val="nil"/>
          <w:between w:val="nil"/>
        </w:pBdr>
        <w:spacing w:after="0"/>
        <w:ind w:left="480" w:hanging="480"/>
        <w:jc w:val="left"/>
        <w:rPr>
          <w:color w:val="000000"/>
        </w:rPr>
      </w:pPr>
      <w:r w:rsidRPr="000916AA">
        <w:rPr>
          <w:color w:val="000000"/>
        </w:rPr>
        <w:t xml:space="preserve">Schwartz, S. H. (2014). Rethinking the concept and measurement of societal culture in light of empirical findings. </w:t>
      </w:r>
      <w:r w:rsidRPr="00304083">
        <w:rPr>
          <w:i/>
          <w:iCs/>
          <w:color w:val="000000"/>
        </w:rPr>
        <w:t>Journal of Cross-Cultural Psychology</w:t>
      </w:r>
      <w:r>
        <w:rPr>
          <w:color w:val="000000"/>
        </w:rPr>
        <w:t xml:space="preserve">, </w:t>
      </w:r>
      <w:r w:rsidRPr="000916AA">
        <w:rPr>
          <w:i/>
          <w:color w:val="000000"/>
        </w:rPr>
        <w:t>45</w:t>
      </w:r>
      <w:r w:rsidRPr="000916AA">
        <w:rPr>
          <w:color w:val="000000"/>
        </w:rPr>
        <w:t>, 5-13.</w:t>
      </w:r>
      <w:r>
        <w:rPr>
          <w:color w:val="000000"/>
        </w:rPr>
        <w:t xml:space="preserve"> </w:t>
      </w:r>
      <w:r w:rsidRPr="000916AA">
        <w:rPr>
          <w:color w:val="000000"/>
        </w:rPr>
        <w:t>https://doi.org/10.1177/0022022113490830</w:t>
      </w:r>
    </w:p>
    <w:p w14:paraId="1CE76617" w14:textId="77777777" w:rsidR="0065539D" w:rsidRPr="00BE5727" w:rsidRDefault="0065539D" w:rsidP="0065539D">
      <w:pPr>
        <w:widowControl w:val="0"/>
        <w:autoSpaceDE w:val="0"/>
        <w:autoSpaceDN w:val="0"/>
        <w:adjustRightInd w:val="0"/>
        <w:spacing w:after="0"/>
        <w:ind w:left="480" w:hanging="480"/>
        <w:jc w:val="left"/>
        <w:rPr>
          <w:noProof/>
        </w:rPr>
      </w:pPr>
      <w:r w:rsidRPr="00A473EE">
        <w:rPr>
          <w:noProof/>
        </w:rPr>
        <w:t xml:space="preserve">Sherman, R. A., &amp; Funder, D. C. (2009). Evaluating correlations in studies of personality and behavior: Beyond the number of significant findings to be expected by chance. </w:t>
      </w:r>
      <w:r w:rsidRPr="00A473EE">
        <w:rPr>
          <w:i/>
          <w:iCs/>
          <w:noProof/>
        </w:rPr>
        <w:t xml:space="preserve">Journal of </w:t>
      </w:r>
      <w:r w:rsidRPr="00A473EE">
        <w:rPr>
          <w:i/>
          <w:iCs/>
          <w:noProof/>
        </w:rPr>
        <w:lastRenderedPageBreak/>
        <w:t>Research in Personality</w:t>
      </w:r>
      <w:r w:rsidRPr="00A473EE">
        <w:rPr>
          <w:noProof/>
        </w:rPr>
        <w:t xml:space="preserve">, </w:t>
      </w:r>
      <w:r w:rsidRPr="00A473EE">
        <w:rPr>
          <w:i/>
          <w:iCs/>
          <w:noProof/>
        </w:rPr>
        <w:t>43</w:t>
      </w:r>
      <w:r w:rsidRPr="00A473EE">
        <w:rPr>
          <w:noProof/>
        </w:rPr>
        <w:t>, 1053–1063. https://doi.org/10.1016/j.jrp.2009.05.010</w:t>
      </w:r>
    </w:p>
    <w:p w14:paraId="7444491C"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Shin, J. Suh, E. M., Eom, K., &amp; Kim, H. S. (2018). What does “Happiness” prompt in your mind? Culture, word choice, and experienced happiness. </w:t>
      </w:r>
      <w:r>
        <w:rPr>
          <w:i/>
          <w:color w:val="000000"/>
        </w:rPr>
        <w:t>Journal of Happiness Studies</w:t>
      </w:r>
      <w:r>
        <w:rPr>
          <w:color w:val="000000"/>
        </w:rPr>
        <w:t xml:space="preserve">, </w:t>
      </w:r>
      <w:r>
        <w:rPr>
          <w:i/>
          <w:color w:val="000000"/>
        </w:rPr>
        <w:t>19</w:t>
      </w:r>
      <w:r>
        <w:rPr>
          <w:color w:val="000000"/>
        </w:rPr>
        <w:t>, 649–662.</w:t>
      </w:r>
    </w:p>
    <w:p w14:paraId="7AB59F52" w14:textId="27CAA76C" w:rsidR="0065539D" w:rsidRPr="00EB2892" w:rsidRDefault="0065539D" w:rsidP="0065539D">
      <w:pPr>
        <w:pBdr>
          <w:top w:val="nil"/>
          <w:left w:val="nil"/>
          <w:bottom w:val="nil"/>
          <w:right w:val="nil"/>
          <w:between w:val="nil"/>
        </w:pBdr>
        <w:spacing w:after="0"/>
        <w:ind w:left="480" w:hanging="480"/>
        <w:jc w:val="left"/>
        <w:rPr>
          <w:color w:val="000000"/>
          <w:lang w:val="es-ES"/>
        </w:rPr>
      </w:pPr>
      <w:r>
        <w:rPr>
          <w:color w:val="000000"/>
        </w:rPr>
        <w:t xml:space="preserve">Shin, L. J., &amp; Lyubomirsky, S. (2017). Increasing well-being in independent and interdependent cultures. In S. Donaldson &amp; M. Rao (Eds.), </w:t>
      </w:r>
      <w:r>
        <w:rPr>
          <w:i/>
          <w:color w:val="000000"/>
        </w:rPr>
        <w:t>Scientific advances in positive psychology</w:t>
      </w:r>
      <w:r>
        <w:rPr>
          <w:color w:val="000000"/>
        </w:rPr>
        <w:t xml:space="preserve">. </w:t>
      </w:r>
      <w:r w:rsidRPr="00EB2892">
        <w:rPr>
          <w:color w:val="000000"/>
          <w:lang w:val="es-ES"/>
        </w:rPr>
        <w:t>Santa Barbara, CA: Praeger.</w:t>
      </w:r>
    </w:p>
    <w:p w14:paraId="2485B460" w14:textId="69A18BAF" w:rsidR="00891507" w:rsidRDefault="00891507" w:rsidP="0065539D">
      <w:pPr>
        <w:pBdr>
          <w:top w:val="nil"/>
          <w:left w:val="nil"/>
          <w:bottom w:val="nil"/>
          <w:right w:val="nil"/>
          <w:between w:val="nil"/>
        </w:pBdr>
        <w:spacing w:after="0"/>
        <w:ind w:left="480" w:hanging="480"/>
        <w:jc w:val="left"/>
        <w:rPr>
          <w:color w:val="000000"/>
        </w:rPr>
      </w:pPr>
      <w:r w:rsidRPr="00EB2892">
        <w:rPr>
          <w:color w:val="000000"/>
          <w:lang w:val="es-ES"/>
        </w:rPr>
        <w:t xml:space="preserve">Slocum-Gori, S. L., &amp; Zumbo, B. D. (2011). </w:t>
      </w:r>
      <w:r w:rsidRPr="00891507">
        <w:rPr>
          <w:color w:val="000000"/>
        </w:rPr>
        <w:t xml:space="preserve">Assessing the unidimensionality of psychological scales: Using multiple criteria from factor analysis. </w:t>
      </w:r>
      <w:r w:rsidRPr="00891507">
        <w:rPr>
          <w:i/>
          <w:iCs/>
          <w:color w:val="000000"/>
        </w:rPr>
        <w:t>Social Indicators Research</w:t>
      </w:r>
      <w:r w:rsidRPr="00891507">
        <w:rPr>
          <w:color w:val="000000"/>
        </w:rPr>
        <w:t xml:space="preserve">, </w:t>
      </w:r>
      <w:r w:rsidRPr="00891507">
        <w:rPr>
          <w:i/>
          <w:iCs/>
          <w:color w:val="000000"/>
        </w:rPr>
        <w:t>102</w:t>
      </w:r>
      <w:r w:rsidRPr="00891507">
        <w:rPr>
          <w:color w:val="000000"/>
        </w:rPr>
        <w:t>, 443-461.</w:t>
      </w:r>
    </w:p>
    <w:p w14:paraId="24ADF936" w14:textId="77777777" w:rsidR="0065539D" w:rsidRPr="00BE5727" w:rsidRDefault="0065539D" w:rsidP="0065539D">
      <w:pPr>
        <w:widowControl w:val="0"/>
        <w:autoSpaceDE w:val="0"/>
        <w:autoSpaceDN w:val="0"/>
        <w:adjustRightInd w:val="0"/>
        <w:spacing w:after="0"/>
        <w:ind w:left="480" w:hanging="480"/>
        <w:jc w:val="left"/>
        <w:rPr>
          <w:noProof/>
        </w:rPr>
      </w:pPr>
      <w:r w:rsidRPr="00A473EE">
        <w:rPr>
          <w:noProof/>
        </w:rPr>
        <w:t xml:space="preserve">Stavrova, O. (2019). How </w:t>
      </w:r>
      <w:r>
        <w:rPr>
          <w:noProof/>
        </w:rPr>
        <w:t>m</w:t>
      </w:r>
      <w:r w:rsidRPr="00A473EE">
        <w:rPr>
          <w:noProof/>
        </w:rPr>
        <w:t xml:space="preserve">uch </w:t>
      </w:r>
      <w:r>
        <w:rPr>
          <w:noProof/>
        </w:rPr>
        <w:t>d</w:t>
      </w:r>
      <w:r w:rsidRPr="00A473EE">
        <w:rPr>
          <w:noProof/>
        </w:rPr>
        <w:t xml:space="preserve">o </w:t>
      </w:r>
      <w:r>
        <w:rPr>
          <w:noProof/>
        </w:rPr>
        <w:t>s</w:t>
      </w:r>
      <w:r w:rsidRPr="00A473EE">
        <w:rPr>
          <w:noProof/>
        </w:rPr>
        <w:t xml:space="preserve">ources of </w:t>
      </w:r>
      <w:r>
        <w:rPr>
          <w:noProof/>
        </w:rPr>
        <w:t>h</w:t>
      </w:r>
      <w:r w:rsidRPr="00A473EE">
        <w:rPr>
          <w:noProof/>
        </w:rPr>
        <w:t xml:space="preserve">appiness </w:t>
      </w:r>
      <w:r>
        <w:rPr>
          <w:noProof/>
        </w:rPr>
        <w:t>v</w:t>
      </w:r>
      <w:r w:rsidRPr="00A473EE">
        <w:rPr>
          <w:noProof/>
        </w:rPr>
        <w:t xml:space="preserve">ary </w:t>
      </w:r>
      <w:r>
        <w:rPr>
          <w:noProof/>
        </w:rPr>
        <w:t>a</w:t>
      </w:r>
      <w:r w:rsidRPr="00A473EE">
        <w:rPr>
          <w:noProof/>
        </w:rPr>
        <w:t xml:space="preserve">cross </w:t>
      </w:r>
      <w:r>
        <w:rPr>
          <w:noProof/>
        </w:rPr>
        <w:t>c</w:t>
      </w:r>
      <w:r w:rsidRPr="00A473EE">
        <w:rPr>
          <w:noProof/>
        </w:rPr>
        <w:t>ountries? A </w:t>
      </w:r>
      <w:r>
        <w:rPr>
          <w:noProof/>
        </w:rPr>
        <w:t>r</w:t>
      </w:r>
      <w:r w:rsidRPr="00A473EE">
        <w:rPr>
          <w:noProof/>
        </w:rPr>
        <w:t xml:space="preserve">eview of the </w:t>
      </w:r>
      <w:r>
        <w:rPr>
          <w:noProof/>
        </w:rPr>
        <w:t>e</w:t>
      </w:r>
      <w:r w:rsidRPr="00A473EE">
        <w:rPr>
          <w:noProof/>
        </w:rPr>
        <w:t xml:space="preserve">mpirical </w:t>
      </w:r>
      <w:r>
        <w:rPr>
          <w:noProof/>
        </w:rPr>
        <w:t>l</w:t>
      </w:r>
      <w:r w:rsidRPr="00A473EE">
        <w:rPr>
          <w:noProof/>
        </w:rPr>
        <w:t xml:space="preserve">iterature. </w:t>
      </w:r>
      <w:r w:rsidRPr="00A473EE">
        <w:rPr>
          <w:i/>
          <w:iCs/>
          <w:noProof/>
        </w:rPr>
        <w:t>Kolner Zeitschrift Fur Soziologie Und Sozialpsychologie</w:t>
      </w:r>
      <w:r w:rsidRPr="00A473EE">
        <w:rPr>
          <w:noProof/>
        </w:rPr>
        <w:t xml:space="preserve">, </w:t>
      </w:r>
      <w:r w:rsidRPr="00A473EE">
        <w:rPr>
          <w:i/>
          <w:iCs/>
          <w:noProof/>
        </w:rPr>
        <w:t>71</w:t>
      </w:r>
      <w:r w:rsidRPr="00A473EE">
        <w:rPr>
          <w:noProof/>
        </w:rPr>
        <w:t>, 429–464. https://doi.org/10.1007/s11577-019-00612-y</w:t>
      </w:r>
    </w:p>
    <w:p w14:paraId="413E602A"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Taras, V., &amp; Steel, P. (2009). Beyond Hofstede: Challenging the Ten Commandments of Cross-Cultural Research. In C. Nakata (Ed.), </w:t>
      </w:r>
      <w:r>
        <w:rPr>
          <w:i/>
          <w:color w:val="000000"/>
        </w:rPr>
        <w:t>Beyond Hofstede: Culture Frameworks for Global Marketing and Management</w:t>
      </w:r>
      <w:r>
        <w:rPr>
          <w:color w:val="000000"/>
        </w:rPr>
        <w:t>: Macmillan/Palgrave.</w:t>
      </w:r>
    </w:p>
    <w:p w14:paraId="10FBF30B"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The World Bank (2016). Population density. Retrieved from </w:t>
      </w:r>
      <w:hyperlink r:id="rId22" w:history="1">
        <w:r w:rsidRPr="00263978">
          <w:rPr>
            <w:rStyle w:val="Hyperlink"/>
          </w:rPr>
          <w:t>https://data.worldbank.org/indicator/EN.POP.DNST</w:t>
        </w:r>
      </w:hyperlink>
      <w:r>
        <w:rPr>
          <w:color w:val="000000"/>
        </w:rPr>
        <w:t xml:space="preserve">. </w:t>
      </w:r>
    </w:p>
    <w:p w14:paraId="2CA7A0EC"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Tsai, J. L., Knutson, B., &amp; Fung, H. H. (2006). Cultural variation in affect valuation. </w:t>
      </w:r>
      <w:r>
        <w:rPr>
          <w:i/>
          <w:color w:val="000000"/>
        </w:rPr>
        <w:t>Journal of Personality and Social Psychology</w:t>
      </w:r>
      <w:r>
        <w:rPr>
          <w:color w:val="000000"/>
        </w:rPr>
        <w:t xml:space="preserve">, </w:t>
      </w:r>
      <w:r>
        <w:rPr>
          <w:i/>
          <w:color w:val="000000"/>
        </w:rPr>
        <w:t>90</w:t>
      </w:r>
      <w:r>
        <w:rPr>
          <w:color w:val="000000"/>
        </w:rPr>
        <w:t xml:space="preserve">, 288–307. </w:t>
      </w:r>
    </w:p>
    <w:p w14:paraId="35D552DB" w14:textId="77777777" w:rsidR="0065539D" w:rsidRDefault="0065539D" w:rsidP="0065539D">
      <w:pPr>
        <w:pBdr>
          <w:top w:val="nil"/>
          <w:left w:val="nil"/>
          <w:bottom w:val="nil"/>
          <w:right w:val="nil"/>
          <w:between w:val="nil"/>
        </w:pBdr>
        <w:spacing w:after="0"/>
        <w:ind w:left="480" w:hanging="480"/>
        <w:jc w:val="left"/>
        <w:rPr>
          <w:color w:val="000000"/>
        </w:rPr>
      </w:pPr>
      <w:r w:rsidRPr="004C5223">
        <w:rPr>
          <w:color w:val="000000"/>
        </w:rPr>
        <w:t xml:space="preserve">Tsai, J. L., Miao, F. F., &amp; Seppala, E. (2007). Good feelings in Christianity and Buddhism: Religious differences in ideal affect. </w:t>
      </w:r>
      <w:r w:rsidRPr="004C5223">
        <w:rPr>
          <w:i/>
          <w:iCs/>
          <w:color w:val="000000"/>
        </w:rPr>
        <w:t>Personality and Social Psychology Bulletin</w:t>
      </w:r>
      <w:r w:rsidRPr="004C5223">
        <w:rPr>
          <w:color w:val="000000"/>
        </w:rPr>
        <w:t xml:space="preserve">, </w:t>
      </w:r>
      <w:r w:rsidRPr="004C5223">
        <w:rPr>
          <w:i/>
          <w:iCs/>
          <w:color w:val="000000"/>
        </w:rPr>
        <w:t>33</w:t>
      </w:r>
      <w:r w:rsidRPr="004C5223">
        <w:rPr>
          <w:color w:val="000000"/>
        </w:rPr>
        <w:t>, 409–421. https://doi.org/10.1177/0146167206296107</w:t>
      </w:r>
    </w:p>
    <w:p w14:paraId="53D85C39"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lastRenderedPageBreak/>
        <w:t xml:space="preserve">Uchida, Y., &amp; Kitayama, S. (2009). Happiness and unhappiness in East and West: Themes and variations. </w:t>
      </w:r>
      <w:r>
        <w:rPr>
          <w:i/>
          <w:color w:val="000000"/>
        </w:rPr>
        <w:t>Emotion</w:t>
      </w:r>
      <w:r>
        <w:rPr>
          <w:color w:val="000000"/>
        </w:rPr>
        <w:t xml:space="preserve">, </w:t>
      </w:r>
      <w:r>
        <w:rPr>
          <w:i/>
          <w:color w:val="000000"/>
        </w:rPr>
        <w:t>9</w:t>
      </w:r>
      <w:r>
        <w:rPr>
          <w:color w:val="000000"/>
        </w:rPr>
        <w:t xml:space="preserve">, 441–456. </w:t>
      </w:r>
    </w:p>
    <w:p w14:paraId="2E56C72E"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Uchida, Y., Norasakkaunkit, V., &amp; Kitayama, S. (2004). Cultural constructions of happiness and empirical evidence. </w:t>
      </w:r>
      <w:r>
        <w:rPr>
          <w:i/>
          <w:color w:val="000000"/>
        </w:rPr>
        <w:t>Journal of Happiness Studies</w:t>
      </w:r>
      <w:r>
        <w:rPr>
          <w:color w:val="000000"/>
        </w:rPr>
        <w:t xml:space="preserve">, </w:t>
      </w:r>
      <w:r>
        <w:rPr>
          <w:i/>
          <w:color w:val="000000"/>
        </w:rPr>
        <w:t>5</w:t>
      </w:r>
      <w:r>
        <w:rPr>
          <w:color w:val="000000"/>
        </w:rPr>
        <w:t xml:space="preserve">, 223–239. </w:t>
      </w:r>
    </w:p>
    <w:p w14:paraId="52240CB2"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Uchida, Y., &amp; Ogihara, Y. (2013). Personal or interpersonal construal of happiness: A cultural psychological perspective. </w:t>
      </w:r>
      <w:r>
        <w:rPr>
          <w:i/>
          <w:color w:val="000000"/>
        </w:rPr>
        <w:t>International Journal of Wellbeing</w:t>
      </w:r>
      <w:r>
        <w:rPr>
          <w:color w:val="000000"/>
        </w:rPr>
        <w:t xml:space="preserve">, </w:t>
      </w:r>
      <w:r>
        <w:rPr>
          <w:i/>
          <w:color w:val="000000"/>
        </w:rPr>
        <w:t>2</w:t>
      </w:r>
      <w:r>
        <w:rPr>
          <w:color w:val="000000"/>
        </w:rPr>
        <w:t xml:space="preserve">, 354–369. </w:t>
      </w:r>
    </w:p>
    <w:p w14:paraId="4C07F276"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United Nations (2017). Human Development Reports. Retrieved from </w:t>
      </w:r>
      <w:hyperlink r:id="rId23" w:history="1">
        <w:r>
          <w:rPr>
            <w:rStyle w:val="Hyperlink"/>
          </w:rPr>
          <w:t>http://hdr.undp.org/en/data</w:t>
        </w:r>
      </w:hyperlink>
      <w:r>
        <w:t xml:space="preserve">. </w:t>
      </w:r>
    </w:p>
    <w:p w14:paraId="67ED84FD" w14:textId="77777777" w:rsidR="0065539D" w:rsidRPr="00BE5727" w:rsidRDefault="0065539D" w:rsidP="0065539D">
      <w:pPr>
        <w:widowControl w:val="0"/>
        <w:autoSpaceDE w:val="0"/>
        <w:autoSpaceDN w:val="0"/>
        <w:adjustRightInd w:val="0"/>
        <w:spacing w:after="0"/>
        <w:ind w:left="480" w:hanging="480"/>
        <w:jc w:val="left"/>
        <w:rPr>
          <w:noProof/>
        </w:rPr>
      </w:pPr>
      <w:r w:rsidRPr="00A473EE">
        <w:rPr>
          <w:noProof/>
        </w:rPr>
        <w:t xml:space="preserve">van Herk, H., Poortinga, Y. H., &amp; Verhallen, T. M. M. (2004). Response styles in rating scales: Evidence of method bias in data from six EU countries. </w:t>
      </w:r>
      <w:r w:rsidRPr="00A473EE">
        <w:rPr>
          <w:i/>
          <w:iCs/>
          <w:noProof/>
        </w:rPr>
        <w:t>Journal of Cross-Cultural Psychology</w:t>
      </w:r>
      <w:r w:rsidRPr="00A473EE">
        <w:rPr>
          <w:noProof/>
        </w:rPr>
        <w:t xml:space="preserve">, </w:t>
      </w:r>
      <w:r w:rsidRPr="00A473EE">
        <w:rPr>
          <w:i/>
          <w:iCs/>
          <w:noProof/>
        </w:rPr>
        <w:t>35</w:t>
      </w:r>
      <w:r w:rsidRPr="00A473EE">
        <w:rPr>
          <w:noProof/>
        </w:rPr>
        <w:t>, 346–360. https://doi.org/10.1177/0022022104264126</w:t>
      </w:r>
    </w:p>
    <w:p w14:paraId="1E13BBDF" w14:textId="77777777" w:rsidR="0065539D" w:rsidRPr="00BE5727" w:rsidRDefault="0065539D" w:rsidP="0065539D">
      <w:pPr>
        <w:widowControl w:val="0"/>
        <w:autoSpaceDE w:val="0"/>
        <w:autoSpaceDN w:val="0"/>
        <w:adjustRightInd w:val="0"/>
        <w:spacing w:after="0"/>
        <w:ind w:left="480" w:hanging="480"/>
        <w:jc w:val="left"/>
        <w:rPr>
          <w:noProof/>
        </w:rPr>
      </w:pPr>
      <w:r w:rsidRPr="00A473EE">
        <w:rPr>
          <w:noProof/>
        </w:rPr>
        <w:t xml:space="preserve">Wang, A. Y., &amp; Rhemtulla, M. (2020). Power analysis for parameter estimation in structural equation modeling: A discussion and tutorial. </w:t>
      </w:r>
      <w:r w:rsidRPr="00A473EE">
        <w:rPr>
          <w:i/>
          <w:iCs/>
          <w:noProof/>
        </w:rPr>
        <w:t>Advances in Methods and Practices in Psychological Science</w:t>
      </w:r>
      <w:r w:rsidRPr="00A473EE">
        <w:rPr>
          <w:noProof/>
        </w:rPr>
        <w:t>, 211. https://doi.org/10.3130/aijt.5.211_5</w:t>
      </w:r>
    </w:p>
    <w:p w14:paraId="761B2B4E"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Weatherbase (2019). Retrieved from </w:t>
      </w:r>
      <w:hyperlink r:id="rId24" w:history="1">
        <w:r w:rsidRPr="00967618">
          <w:rPr>
            <w:rStyle w:val="Hyperlink"/>
          </w:rPr>
          <w:t>https://www.weatherbase.com</w:t>
        </w:r>
      </w:hyperlink>
      <w:r>
        <w:rPr>
          <w:color w:val="000000"/>
        </w:rPr>
        <w:t xml:space="preserve">. </w:t>
      </w:r>
    </w:p>
    <w:p w14:paraId="0B59529D" w14:textId="77777777" w:rsidR="0065539D" w:rsidRDefault="0065539D" w:rsidP="0065539D">
      <w:pPr>
        <w:pBdr>
          <w:top w:val="nil"/>
          <w:left w:val="nil"/>
          <w:bottom w:val="nil"/>
          <w:right w:val="nil"/>
          <w:between w:val="nil"/>
        </w:pBdr>
        <w:spacing w:after="0"/>
        <w:ind w:left="480" w:hanging="480"/>
        <w:jc w:val="left"/>
        <w:rPr>
          <w:color w:val="000000"/>
        </w:rPr>
      </w:pPr>
      <w:r>
        <w:rPr>
          <w:color w:val="000000"/>
        </w:rPr>
        <w:t xml:space="preserve">World Health Organization (2015). Suicide rate estimates. Retrieved from </w:t>
      </w:r>
      <w:hyperlink r:id="rId25" w:history="1">
        <w:r>
          <w:rPr>
            <w:rStyle w:val="Hyperlink"/>
          </w:rPr>
          <w:t>https://www.who.int/gho/en/</w:t>
        </w:r>
      </w:hyperlink>
      <w:r>
        <w:t xml:space="preserve">. </w:t>
      </w:r>
    </w:p>
    <w:p w14:paraId="5FB2E788" w14:textId="41FDD194" w:rsidR="003553F9" w:rsidRPr="00581489" w:rsidRDefault="003553F9" w:rsidP="00C66D5C">
      <w:pPr>
        <w:spacing w:after="0"/>
        <w:jc w:val="left"/>
      </w:pPr>
    </w:p>
    <w:sectPr w:rsidR="003553F9" w:rsidRPr="00581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A61E" w14:textId="77777777" w:rsidR="001474EE" w:rsidRDefault="001474EE" w:rsidP="00BE43B8">
      <w:pPr>
        <w:spacing w:after="0" w:line="240" w:lineRule="auto"/>
      </w:pPr>
      <w:r>
        <w:separator/>
      </w:r>
    </w:p>
  </w:endnote>
  <w:endnote w:type="continuationSeparator" w:id="0">
    <w:p w14:paraId="16ADBD0D" w14:textId="77777777" w:rsidR="001474EE" w:rsidRDefault="001474EE" w:rsidP="00BE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F4A7" w14:textId="77777777" w:rsidR="001474EE" w:rsidRDefault="001474EE" w:rsidP="00BE43B8">
      <w:pPr>
        <w:spacing w:after="0" w:line="240" w:lineRule="auto"/>
      </w:pPr>
      <w:r>
        <w:separator/>
      </w:r>
    </w:p>
  </w:footnote>
  <w:footnote w:type="continuationSeparator" w:id="0">
    <w:p w14:paraId="03AE672F" w14:textId="77777777" w:rsidR="001474EE" w:rsidRDefault="001474EE" w:rsidP="00BE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55A3" w14:textId="77777777" w:rsidR="008D3D3B" w:rsidRDefault="008D3D3B" w:rsidP="00190803">
    <w:pPr>
      <w:pStyle w:val="Header"/>
      <w:jc w:val="left"/>
    </w:pPr>
    <w:r>
      <w:t xml:space="preserve">HAPPINESS AROUND THE WORLD </w:t>
    </w:r>
    <w:r>
      <w:tab/>
    </w:r>
    <w:r>
      <w:tab/>
    </w:r>
    <w:sdt>
      <w:sdtPr>
        <w:id w:val="8823629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45</w:t>
        </w:r>
        <w:r>
          <w:rPr>
            <w:noProof/>
          </w:rPr>
          <w:fldChar w:fldCharType="end"/>
        </w:r>
      </w:sdtContent>
    </w:sdt>
  </w:p>
  <w:p w14:paraId="5811F4F4" w14:textId="77777777" w:rsidR="008D3D3B" w:rsidRDefault="008D3D3B" w:rsidP="0019080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3C6F" w14:textId="77777777" w:rsidR="008D3D3B" w:rsidRDefault="008D3D3B" w:rsidP="00190803">
    <w:pPr>
      <w:pStyle w:val="Header"/>
      <w:jc w:val="left"/>
    </w:pPr>
    <w:r>
      <w:t>Running Head: HAPPINESS AROUND THE WORLD</w:t>
    </w:r>
    <w:r>
      <w:ta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80E3" w14:textId="11E4FB9A" w:rsidR="008D3D3B" w:rsidRDefault="008D3D3B" w:rsidP="00190803">
    <w:pPr>
      <w:pStyle w:val="Header"/>
      <w:jc w:val="left"/>
    </w:pPr>
    <w:r>
      <w:t>Running Head: HAPPINESS AROUND THE WORLD</w:t>
    </w:r>
    <w:r>
      <w:tab/>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41303"/>
    <w:multiLevelType w:val="hybridMultilevel"/>
    <w:tmpl w:val="045211AE"/>
    <w:lvl w:ilvl="0" w:tplc="551A575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B8"/>
    <w:rsid w:val="00000EC1"/>
    <w:rsid w:val="000077BC"/>
    <w:rsid w:val="00010525"/>
    <w:rsid w:val="000169E0"/>
    <w:rsid w:val="000179DF"/>
    <w:rsid w:val="00023C91"/>
    <w:rsid w:val="000347D2"/>
    <w:rsid w:val="00036A22"/>
    <w:rsid w:val="00047578"/>
    <w:rsid w:val="000534AF"/>
    <w:rsid w:val="00055707"/>
    <w:rsid w:val="00056B18"/>
    <w:rsid w:val="00063949"/>
    <w:rsid w:val="00064266"/>
    <w:rsid w:val="0006503D"/>
    <w:rsid w:val="000650D2"/>
    <w:rsid w:val="00066304"/>
    <w:rsid w:val="000706F6"/>
    <w:rsid w:val="00074FCE"/>
    <w:rsid w:val="0007677D"/>
    <w:rsid w:val="00076B0E"/>
    <w:rsid w:val="000770E0"/>
    <w:rsid w:val="00080495"/>
    <w:rsid w:val="00080D65"/>
    <w:rsid w:val="00085F2A"/>
    <w:rsid w:val="00091007"/>
    <w:rsid w:val="0009571F"/>
    <w:rsid w:val="000A060E"/>
    <w:rsid w:val="000A2A31"/>
    <w:rsid w:val="000A34B2"/>
    <w:rsid w:val="000A5418"/>
    <w:rsid w:val="000A555C"/>
    <w:rsid w:val="000B727E"/>
    <w:rsid w:val="000C0EA4"/>
    <w:rsid w:val="000C1BA7"/>
    <w:rsid w:val="000C6FB5"/>
    <w:rsid w:val="000D1383"/>
    <w:rsid w:val="000E0877"/>
    <w:rsid w:val="000E24FF"/>
    <w:rsid w:val="000E2ACB"/>
    <w:rsid w:val="000E6450"/>
    <w:rsid w:val="000F1B9C"/>
    <w:rsid w:val="000F5666"/>
    <w:rsid w:val="00107A15"/>
    <w:rsid w:val="00110725"/>
    <w:rsid w:val="00110C77"/>
    <w:rsid w:val="0011243D"/>
    <w:rsid w:val="0012683D"/>
    <w:rsid w:val="00135A64"/>
    <w:rsid w:val="00145353"/>
    <w:rsid w:val="001461E3"/>
    <w:rsid w:val="001474EE"/>
    <w:rsid w:val="00147DC0"/>
    <w:rsid w:val="00147FB3"/>
    <w:rsid w:val="00156893"/>
    <w:rsid w:val="00156A3F"/>
    <w:rsid w:val="00157546"/>
    <w:rsid w:val="001702FA"/>
    <w:rsid w:val="001725E8"/>
    <w:rsid w:val="0018414F"/>
    <w:rsid w:val="00190803"/>
    <w:rsid w:val="001918E1"/>
    <w:rsid w:val="00193F4F"/>
    <w:rsid w:val="001A7B39"/>
    <w:rsid w:val="001B1420"/>
    <w:rsid w:val="001B1EEB"/>
    <w:rsid w:val="001B39B7"/>
    <w:rsid w:val="001B4394"/>
    <w:rsid w:val="001B5CA5"/>
    <w:rsid w:val="001C180C"/>
    <w:rsid w:val="001C57D1"/>
    <w:rsid w:val="001C5805"/>
    <w:rsid w:val="001D190A"/>
    <w:rsid w:val="001D4E17"/>
    <w:rsid w:val="001E2054"/>
    <w:rsid w:val="001E6774"/>
    <w:rsid w:val="001F6719"/>
    <w:rsid w:val="00212D0C"/>
    <w:rsid w:val="0021398F"/>
    <w:rsid w:val="002147EB"/>
    <w:rsid w:val="00220262"/>
    <w:rsid w:val="002204CB"/>
    <w:rsid w:val="0022172F"/>
    <w:rsid w:val="002272E7"/>
    <w:rsid w:val="00227C8D"/>
    <w:rsid w:val="00235788"/>
    <w:rsid w:val="00236E57"/>
    <w:rsid w:val="00237D87"/>
    <w:rsid w:val="00243731"/>
    <w:rsid w:val="00245662"/>
    <w:rsid w:val="002467B3"/>
    <w:rsid w:val="00266861"/>
    <w:rsid w:val="0028289B"/>
    <w:rsid w:val="00290169"/>
    <w:rsid w:val="002965E3"/>
    <w:rsid w:val="002A10A9"/>
    <w:rsid w:val="002C2E33"/>
    <w:rsid w:val="002C3022"/>
    <w:rsid w:val="002C5209"/>
    <w:rsid w:val="002C5932"/>
    <w:rsid w:val="002C5EE8"/>
    <w:rsid w:val="002C6734"/>
    <w:rsid w:val="002D6D1D"/>
    <w:rsid w:val="002E26FB"/>
    <w:rsid w:val="002F3112"/>
    <w:rsid w:val="00307FF6"/>
    <w:rsid w:val="0032018E"/>
    <w:rsid w:val="003227FE"/>
    <w:rsid w:val="00324A62"/>
    <w:rsid w:val="003267CF"/>
    <w:rsid w:val="00332415"/>
    <w:rsid w:val="003356C8"/>
    <w:rsid w:val="00336D26"/>
    <w:rsid w:val="00341476"/>
    <w:rsid w:val="00343554"/>
    <w:rsid w:val="0034502B"/>
    <w:rsid w:val="00345399"/>
    <w:rsid w:val="003553F9"/>
    <w:rsid w:val="00360348"/>
    <w:rsid w:val="00360B98"/>
    <w:rsid w:val="003616EF"/>
    <w:rsid w:val="003710B6"/>
    <w:rsid w:val="00383F86"/>
    <w:rsid w:val="0038526C"/>
    <w:rsid w:val="00385ABF"/>
    <w:rsid w:val="00386A9C"/>
    <w:rsid w:val="003A1730"/>
    <w:rsid w:val="003A5062"/>
    <w:rsid w:val="003B351A"/>
    <w:rsid w:val="003C6A3B"/>
    <w:rsid w:val="003E4D27"/>
    <w:rsid w:val="003E6EBB"/>
    <w:rsid w:val="003F0AD8"/>
    <w:rsid w:val="004003E8"/>
    <w:rsid w:val="004027A4"/>
    <w:rsid w:val="00406421"/>
    <w:rsid w:val="0041237E"/>
    <w:rsid w:val="00421B59"/>
    <w:rsid w:val="00431121"/>
    <w:rsid w:val="00433092"/>
    <w:rsid w:val="00444156"/>
    <w:rsid w:val="00445BB1"/>
    <w:rsid w:val="0044703E"/>
    <w:rsid w:val="004502BC"/>
    <w:rsid w:val="00450708"/>
    <w:rsid w:val="0045083C"/>
    <w:rsid w:val="004511F6"/>
    <w:rsid w:val="00451718"/>
    <w:rsid w:val="00462D02"/>
    <w:rsid w:val="0046669B"/>
    <w:rsid w:val="00475A45"/>
    <w:rsid w:val="00476086"/>
    <w:rsid w:val="00482D67"/>
    <w:rsid w:val="00485B29"/>
    <w:rsid w:val="00486F39"/>
    <w:rsid w:val="00487F56"/>
    <w:rsid w:val="00487F81"/>
    <w:rsid w:val="0049153E"/>
    <w:rsid w:val="00496153"/>
    <w:rsid w:val="004A3A35"/>
    <w:rsid w:val="004A78D4"/>
    <w:rsid w:val="004B06F8"/>
    <w:rsid w:val="004C019D"/>
    <w:rsid w:val="004C3517"/>
    <w:rsid w:val="004C3B2B"/>
    <w:rsid w:val="004C5223"/>
    <w:rsid w:val="004E0345"/>
    <w:rsid w:val="004E6E5A"/>
    <w:rsid w:val="004E7439"/>
    <w:rsid w:val="004F0901"/>
    <w:rsid w:val="004F2535"/>
    <w:rsid w:val="004F2A09"/>
    <w:rsid w:val="005113D9"/>
    <w:rsid w:val="005277DB"/>
    <w:rsid w:val="00527E79"/>
    <w:rsid w:val="00533897"/>
    <w:rsid w:val="00533F87"/>
    <w:rsid w:val="0053767A"/>
    <w:rsid w:val="00543C90"/>
    <w:rsid w:val="00546601"/>
    <w:rsid w:val="00546BB6"/>
    <w:rsid w:val="00557B7E"/>
    <w:rsid w:val="00562167"/>
    <w:rsid w:val="00562C1E"/>
    <w:rsid w:val="00564944"/>
    <w:rsid w:val="00566A85"/>
    <w:rsid w:val="0056789F"/>
    <w:rsid w:val="00575CA5"/>
    <w:rsid w:val="005812DB"/>
    <w:rsid w:val="00581489"/>
    <w:rsid w:val="00582CB8"/>
    <w:rsid w:val="00586CA7"/>
    <w:rsid w:val="00586FB5"/>
    <w:rsid w:val="005950D2"/>
    <w:rsid w:val="0059673E"/>
    <w:rsid w:val="005A6EE8"/>
    <w:rsid w:val="005B3356"/>
    <w:rsid w:val="005B3B96"/>
    <w:rsid w:val="005B3E16"/>
    <w:rsid w:val="005C38C9"/>
    <w:rsid w:val="005D00C6"/>
    <w:rsid w:val="005E502C"/>
    <w:rsid w:val="005F2BE9"/>
    <w:rsid w:val="00601241"/>
    <w:rsid w:val="00601819"/>
    <w:rsid w:val="00602AAA"/>
    <w:rsid w:val="00606E44"/>
    <w:rsid w:val="0060796A"/>
    <w:rsid w:val="006100FB"/>
    <w:rsid w:val="0061121D"/>
    <w:rsid w:val="00611254"/>
    <w:rsid w:val="00616904"/>
    <w:rsid w:val="00622400"/>
    <w:rsid w:val="00623E72"/>
    <w:rsid w:val="006331EF"/>
    <w:rsid w:val="00650694"/>
    <w:rsid w:val="00651A94"/>
    <w:rsid w:val="0065539D"/>
    <w:rsid w:val="00671815"/>
    <w:rsid w:val="00671AA0"/>
    <w:rsid w:val="00680F00"/>
    <w:rsid w:val="00681F6A"/>
    <w:rsid w:val="00683347"/>
    <w:rsid w:val="00693030"/>
    <w:rsid w:val="00695CC5"/>
    <w:rsid w:val="006A0DC6"/>
    <w:rsid w:val="006A22DD"/>
    <w:rsid w:val="006A2D7E"/>
    <w:rsid w:val="006B033E"/>
    <w:rsid w:val="006B3F5E"/>
    <w:rsid w:val="006B4B40"/>
    <w:rsid w:val="006B55FF"/>
    <w:rsid w:val="006C637D"/>
    <w:rsid w:val="006D6EF4"/>
    <w:rsid w:val="006E0A37"/>
    <w:rsid w:val="006E21FD"/>
    <w:rsid w:val="006E6084"/>
    <w:rsid w:val="006F0D87"/>
    <w:rsid w:val="006F257A"/>
    <w:rsid w:val="00706059"/>
    <w:rsid w:val="00711730"/>
    <w:rsid w:val="00716018"/>
    <w:rsid w:val="0072222F"/>
    <w:rsid w:val="0072730B"/>
    <w:rsid w:val="007316E8"/>
    <w:rsid w:val="00740467"/>
    <w:rsid w:val="00750ACB"/>
    <w:rsid w:val="00751CC4"/>
    <w:rsid w:val="00761B33"/>
    <w:rsid w:val="0076389A"/>
    <w:rsid w:val="0076575C"/>
    <w:rsid w:val="00772F28"/>
    <w:rsid w:val="00783033"/>
    <w:rsid w:val="00786ED4"/>
    <w:rsid w:val="00787F0E"/>
    <w:rsid w:val="00790A74"/>
    <w:rsid w:val="007950D2"/>
    <w:rsid w:val="007A51F1"/>
    <w:rsid w:val="007A55D0"/>
    <w:rsid w:val="007B42F2"/>
    <w:rsid w:val="007C3262"/>
    <w:rsid w:val="007C6448"/>
    <w:rsid w:val="007C7FAB"/>
    <w:rsid w:val="007D17FC"/>
    <w:rsid w:val="007D27FE"/>
    <w:rsid w:val="007D405D"/>
    <w:rsid w:val="007D5CDF"/>
    <w:rsid w:val="007D68C8"/>
    <w:rsid w:val="007E764F"/>
    <w:rsid w:val="007F18EC"/>
    <w:rsid w:val="007F3F7B"/>
    <w:rsid w:val="007F77BD"/>
    <w:rsid w:val="0080121A"/>
    <w:rsid w:val="00802A31"/>
    <w:rsid w:val="0080411A"/>
    <w:rsid w:val="008050B6"/>
    <w:rsid w:val="00805E4B"/>
    <w:rsid w:val="00824889"/>
    <w:rsid w:val="00826B56"/>
    <w:rsid w:val="00850A32"/>
    <w:rsid w:val="0085185C"/>
    <w:rsid w:val="00855601"/>
    <w:rsid w:val="00865E7D"/>
    <w:rsid w:val="00873596"/>
    <w:rsid w:val="00885DD2"/>
    <w:rsid w:val="00891507"/>
    <w:rsid w:val="0089153E"/>
    <w:rsid w:val="00891998"/>
    <w:rsid w:val="00895101"/>
    <w:rsid w:val="008A40C8"/>
    <w:rsid w:val="008A45BD"/>
    <w:rsid w:val="008A62A2"/>
    <w:rsid w:val="008B4AFE"/>
    <w:rsid w:val="008B6F04"/>
    <w:rsid w:val="008B7A33"/>
    <w:rsid w:val="008C08EA"/>
    <w:rsid w:val="008C16B6"/>
    <w:rsid w:val="008C3515"/>
    <w:rsid w:val="008D0761"/>
    <w:rsid w:val="008D0764"/>
    <w:rsid w:val="008D0FAE"/>
    <w:rsid w:val="008D3D3B"/>
    <w:rsid w:val="008D7548"/>
    <w:rsid w:val="008E1A55"/>
    <w:rsid w:val="008E220C"/>
    <w:rsid w:val="008E7E53"/>
    <w:rsid w:val="008F00BD"/>
    <w:rsid w:val="008F5A54"/>
    <w:rsid w:val="008F6956"/>
    <w:rsid w:val="00902AA8"/>
    <w:rsid w:val="00905879"/>
    <w:rsid w:val="009061F6"/>
    <w:rsid w:val="0091127F"/>
    <w:rsid w:val="00913995"/>
    <w:rsid w:val="00914AD4"/>
    <w:rsid w:val="009156CF"/>
    <w:rsid w:val="009177AB"/>
    <w:rsid w:val="009245CD"/>
    <w:rsid w:val="00926DFD"/>
    <w:rsid w:val="00927284"/>
    <w:rsid w:val="00927749"/>
    <w:rsid w:val="00933422"/>
    <w:rsid w:val="00935CA9"/>
    <w:rsid w:val="009409E4"/>
    <w:rsid w:val="00946788"/>
    <w:rsid w:val="009579E3"/>
    <w:rsid w:val="00960268"/>
    <w:rsid w:val="00962425"/>
    <w:rsid w:val="00964BC0"/>
    <w:rsid w:val="00967C31"/>
    <w:rsid w:val="00972763"/>
    <w:rsid w:val="00972A9B"/>
    <w:rsid w:val="009735DB"/>
    <w:rsid w:val="00983D75"/>
    <w:rsid w:val="00983E33"/>
    <w:rsid w:val="00986FF3"/>
    <w:rsid w:val="00990F2C"/>
    <w:rsid w:val="00992819"/>
    <w:rsid w:val="009938C6"/>
    <w:rsid w:val="009B30B9"/>
    <w:rsid w:val="009C298B"/>
    <w:rsid w:val="009E0A8D"/>
    <w:rsid w:val="009E0F46"/>
    <w:rsid w:val="009F11E8"/>
    <w:rsid w:val="009F281E"/>
    <w:rsid w:val="009F606C"/>
    <w:rsid w:val="009F6F2E"/>
    <w:rsid w:val="00A03AA8"/>
    <w:rsid w:val="00A070BB"/>
    <w:rsid w:val="00A11FBE"/>
    <w:rsid w:val="00A473EE"/>
    <w:rsid w:val="00A5066F"/>
    <w:rsid w:val="00A51F23"/>
    <w:rsid w:val="00A542A0"/>
    <w:rsid w:val="00A54427"/>
    <w:rsid w:val="00A5779A"/>
    <w:rsid w:val="00A709D3"/>
    <w:rsid w:val="00A7394E"/>
    <w:rsid w:val="00A761FA"/>
    <w:rsid w:val="00A7771C"/>
    <w:rsid w:val="00A83297"/>
    <w:rsid w:val="00A84BDB"/>
    <w:rsid w:val="00A850A0"/>
    <w:rsid w:val="00A86A49"/>
    <w:rsid w:val="00A86AAD"/>
    <w:rsid w:val="00A93425"/>
    <w:rsid w:val="00A95EFA"/>
    <w:rsid w:val="00AA1CDC"/>
    <w:rsid w:val="00AB4A8F"/>
    <w:rsid w:val="00AE42C5"/>
    <w:rsid w:val="00AE57AF"/>
    <w:rsid w:val="00AE6BA2"/>
    <w:rsid w:val="00B01980"/>
    <w:rsid w:val="00B02CE8"/>
    <w:rsid w:val="00B053AE"/>
    <w:rsid w:val="00B071B7"/>
    <w:rsid w:val="00B0798A"/>
    <w:rsid w:val="00B1031C"/>
    <w:rsid w:val="00B10DE7"/>
    <w:rsid w:val="00B1535C"/>
    <w:rsid w:val="00B302AF"/>
    <w:rsid w:val="00B3078B"/>
    <w:rsid w:val="00B34955"/>
    <w:rsid w:val="00B37CD0"/>
    <w:rsid w:val="00B415D9"/>
    <w:rsid w:val="00B5141A"/>
    <w:rsid w:val="00B52067"/>
    <w:rsid w:val="00B71689"/>
    <w:rsid w:val="00B752DF"/>
    <w:rsid w:val="00B82957"/>
    <w:rsid w:val="00B83864"/>
    <w:rsid w:val="00B838BD"/>
    <w:rsid w:val="00B94D21"/>
    <w:rsid w:val="00B96946"/>
    <w:rsid w:val="00BA4DD8"/>
    <w:rsid w:val="00BB48B2"/>
    <w:rsid w:val="00BC2C6A"/>
    <w:rsid w:val="00BC2FCF"/>
    <w:rsid w:val="00BC3B2B"/>
    <w:rsid w:val="00BC6CE0"/>
    <w:rsid w:val="00BD219C"/>
    <w:rsid w:val="00BD56D8"/>
    <w:rsid w:val="00BE2B6D"/>
    <w:rsid w:val="00BE31A1"/>
    <w:rsid w:val="00BE43B8"/>
    <w:rsid w:val="00BE44B1"/>
    <w:rsid w:val="00BE4C9A"/>
    <w:rsid w:val="00BF16DC"/>
    <w:rsid w:val="00BF2224"/>
    <w:rsid w:val="00BF28BB"/>
    <w:rsid w:val="00BF3E5D"/>
    <w:rsid w:val="00BF5B38"/>
    <w:rsid w:val="00C00691"/>
    <w:rsid w:val="00C06AE8"/>
    <w:rsid w:val="00C234D4"/>
    <w:rsid w:val="00C25E5D"/>
    <w:rsid w:val="00C43EA0"/>
    <w:rsid w:val="00C45B90"/>
    <w:rsid w:val="00C517C2"/>
    <w:rsid w:val="00C662DB"/>
    <w:rsid w:val="00C66D5C"/>
    <w:rsid w:val="00C75E3F"/>
    <w:rsid w:val="00C779DE"/>
    <w:rsid w:val="00C940E4"/>
    <w:rsid w:val="00CA21C0"/>
    <w:rsid w:val="00CA44E6"/>
    <w:rsid w:val="00CB1E03"/>
    <w:rsid w:val="00CB3BFA"/>
    <w:rsid w:val="00CB60BC"/>
    <w:rsid w:val="00CC544D"/>
    <w:rsid w:val="00CD365A"/>
    <w:rsid w:val="00CF03A0"/>
    <w:rsid w:val="00CF53FA"/>
    <w:rsid w:val="00D01A9D"/>
    <w:rsid w:val="00D044FD"/>
    <w:rsid w:val="00D0596B"/>
    <w:rsid w:val="00D12973"/>
    <w:rsid w:val="00D169D5"/>
    <w:rsid w:val="00D26BB2"/>
    <w:rsid w:val="00D2779C"/>
    <w:rsid w:val="00D32B43"/>
    <w:rsid w:val="00D33794"/>
    <w:rsid w:val="00D36513"/>
    <w:rsid w:val="00D45A29"/>
    <w:rsid w:val="00D45A8C"/>
    <w:rsid w:val="00D47EDA"/>
    <w:rsid w:val="00D70D79"/>
    <w:rsid w:val="00D71243"/>
    <w:rsid w:val="00D800CD"/>
    <w:rsid w:val="00D83553"/>
    <w:rsid w:val="00D85097"/>
    <w:rsid w:val="00D95DCA"/>
    <w:rsid w:val="00DB04FB"/>
    <w:rsid w:val="00DB736D"/>
    <w:rsid w:val="00DC46C6"/>
    <w:rsid w:val="00DC7433"/>
    <w:rsid w:val="00DD3055"/>
    <w:rsid w:val="00DE1B22"/>
    <w:rsid w:val="00DE43BA"/>
    <w:rsid w:val="00E05F55"/>
    <w:rsid w:val="00E06C1C"/>
    <w:rsid w:val="00E11B9E"/>
    <w:rsid w:val="00E124E0"/>
    <w:rsid w:val="00E16705"/>
    <w:rsid w:val="00E22D9D"/>
    <w:rsid w:val="00E301F5"/>
    <w:rsid w:val="00E314BD"/>
    <w:rsid w:val="00E33AF8"/>
    <w:rsid w:val="00E3460A"/>
    <w:rsid w:val="00E3779C"/>
    <w:rsid w:val="00E44864"/>
    <w:rsid w:val="00E51BFB"/>
    <w:rsid w:val="00E52AEB"/>
    <w:rsid w:val="00E6377E"/>
    <w:rsid w:val="00E65CB6"/>
    <w:rsid w:val="00E805FA"/>
    <w:rsid w:val="00E96B6E"/>
    <w:rsid w:val="00E96C2B"/>
    <w:rsid w:val="00E97D30"/>
    <w:rsid w:val="00EA7A5A"/>
    <w:rsid w:val="00EB2892"/>
    <w:rsid w:val="00EB36FC"/>
    <w:rsid w:val="00EC1360"/>
    <w:rsid w:val="00EC53B2"/>
    <w:rsid w:val="00ED1EFF"/>
    <w:rsid w:val="00ED7EFD"/>
    <w:rsid w:val="00EE55C2"/>
    <w:rsid w:val="00EE5EF8"/>
    <w:rsid w:val="00EF3714"/>
    <w:rsid w:val="00EF6099"/>
    <w:rsid w:val="00F0109B"/>
    <w:rsid w:val="00F03469"/>
    <w:rsid w:val="00F04F50"/>
    <w:rsid w:val="00F1020B"/>
    <w:rsid w:val="00F1185E"/>
    <w:rsid w:val="00F1576F"/>
    <w:rsid w:val="00F169A8"/>
    <w:rsid w:val="00F174F3"/>
    <w:rsid w:val="00F23268"/>
    <w:rsid w:val="00F24410"/>
    <w:rsid w:val="00F32E72"/>
    <w:rsid w:val="00F46D01"/>
    <w:rsid w:val="00F52086"/>
    <w:rsid w:val="00F5229F"/>
    <w:rsid w:val="00F5763B"/>
    <w:rsid w:val="00F6050B"/>
    <w:rsid w:val="00F61649"/>
    <w:rsid w:val="00F63BEE"/>
    <w:rsid w:val="00F6447E"/>
    <w:rsid w:val="00F77B81"/>
    <w:rsid w:val="00F81641"/>
    <w:rsid w:val="00F866EA"/>
    <w:rsid w:val="00F87875"/>
    <w:rsid w:val="00F90943"/>
    <w:rsid w:val="00FA437E"/>
    <w:rsid w:val="00FA4727"/>
    <w:rsid w:val="00FB3D2D"/>
    <w:rsid w:val="00FB5CCC"/>
    <w:rsid w:val="00FB6500"/>
    <w:rsid w:val="00FB68B7"/>
    <w:rsid w:val="00FC07EE"/>
    <w:rsid w:val="00FC345E"/>
    <w:rsid w:val="00FC4E2E"/>
    <w:rsid w:val="00FC5676"/>
    <w:rsid w:val="00FC6A2F"/>
    <w:rsid w:val="00FC6A66"/>
    <w:rsid w:val="00FD030F"/>
    <w:rsid w:val="00FD3C3B"/>
    <w:rsid w:val="00FD5385"/>
    <w:rsid w:val="00FE0092"/>
    <w:rsid w:val="00FE69B7"/>
    <w:rsid w:val="00FF3490"/>
    <w:rsid w:val="00F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74D3"/>
  <w15:chartTrackingRefBased/>
  <w15:docId w15:val="{C044980D-0EF4-439F-9404-6F9875E4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43B8"/>
    <w:pPr>
      <w:spacing w:line="480" w:lineRule="auto"/>
      <w:jc w:val="center"/>
    </w:pPr>
    <w:rPr>
      <w:rFonts w:ascii="Times New Roman" w:eastAsia="Times New Roman" w:hAnsi="Times New Roman" w:cs="Times New Roman"/>
      <w:sz w:val="24"/>
      <w:szCs w:val="24"/>
    </w:rPr>
  </w:style>
  <w:style w:type="paragraph" w:styleId="Heading1">
    <w:name w:val="heading 1"/>
    <w:aliases w:val="Body sections Level 1"/>
    <w:basedOn w:val="Normal"/>
    <w:next w:val="Normal"/>
    <w:link w:val="Heading1Char"/>
    <w:autoRedefine/>
    <w:qFormat/>
    <w:rsid w:val="00C940E4"/>
    <w:pPr>
      <w:keepNext/>
      <w:keepLines/>
      <w:spacing w:before="400" w:after="40"/>
      <w:outlineLvl w:val="0"/>
    </w:pPr>
    <w:rPr>
      <w:rFonts w:eastAsiaTheme="majorEastAsia" w:cstheme="majorBidi"/>
      <w:b/>
      <w:szCs w:val="36"/>
    </w:rPr>
  </w:style>
  <w:style w:type="paragraph" w:styleId="Heading2">
    <w:name w:val="heading 2"/>
    <w:aliases w:val="Body sections Level 2"/>
    <w:basedOn w:val="Normal"/>
    <w:next w:val="Normal"/>
    <w:link w:val="Heading2Char"/>
    <w:autoRedefine/>
    <w:unhideWhenUsed/>
    <w:qFormat/>
    <w:rsid w:val="005812DB"/>
    <w:pPr>
      <w:keepNext/>
      <w:keepLines/>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9061F6"/>
    <w:pPr>
      <w:keepNext/>
      <w:keepLines/>
      <w:spacing w:after="0"/>
      <w:jc w:val="left"/>
      <w:outlineLvl w:val="2"/>
    </w:pPr>
    <w:rPr>
      <w:rFonts w:eastAsiaTheme="majorEastAsia" w:cstheme="majorBidi"/>
      <w:b/>
    </w:rPr>
  </w:style>
  <w:style w:type="paragraph" w:styleId="Heading4">
    <w:name w:val="heading 4"/>
    <w:basedOn w:val="Normal"/>
    <w:next w:val="Normal"/>
    <w:link w:val="Heading4Char"/>
    <w:rsid w:val="00BE43B8"/>
    <w:pPr>
      <w:keepNext/>
      <w:keepLines/>
      <w:spacing w:before="40" w:after="0"/>
      <w:outlineLvl w:val="3"/>
    </w:pPr>
    <w:rPr>
      <w:rFonts w:ascii="Calibri" w:eastAsia="Calibri" w:hAnsi="Calibri" w:cs="Calibri"/>
      <w:color w:val="2E75B5"/>
    </w:rPr>
  </w:style>
  <w:style w:type="paragraph" w:styleId="Heading5">
    <w:name w:val="heading 5"/>
    <w:basedOn w:val="Normal"/>
    <w:next w:val="Normal"/>
    <w:link w:val="Heading5Char"/>
    <w:rsid w:val="00BE43B8"/>
    <w:pPr>
      <w:keepNext/>
      <w:keepLines/>
      <w:spacing w:before="40" w:after="0"/>
      <w:outlineLvl w:val="4"/>
    </w:pPr>
    <w:rPr>
      <w:rFonts w:ascii="Calibri" w:eastAsia="Calibri" w:hAnsi="Calibri" w:cs="Calibri"/>
      <w:smallCaps/>
      <w:color w:val="2E75B5"/>
    </w:rPr>
  </w:style>
  <w:style w:type="paragraph" w:styleId="Heading6">
    <w:name w:val="heading 6"/>
    <w:basedOn w:val="Normal"/>
    <w:next w:val="Normal"/>
    <w:link w:val="Heading6Char"/>
    <w:rsid w:val="00BE43B8"/>
    <w:pPr>
      <w:keepNext/>
      <w:keepLines/>
      <w:spacing w:before="40" w:after="0"/>
      <w:outlineLvl w:val="5"/>
    </w:pPr>
    <w:rPr>
      <w:rFonts w:ascii="Calibri" w:eastAsia="Calibri" w:hAnsi="Calibri" w:cs="Calibri"/>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sections Level 1 Char"/>
    <w:basedOn w:val="DefaultParagraphFont"/>
    <w:link w:val="Heading1"/>
    <w:uiPriority w:val="9"/>
    <w:rsid w:val="00C940E4"/>
    <w:rPr>
      <w:rFonts w:ascii="Times New Roman" w:eastAsiaTheme="majorEastAsia" w:hAnsi="Times New Roman" w:cstheme="majorBidi"/>
      <w:b/>
      <w:sz w:val="24"/>
      <w:szCs w:val="36"/>
    </w:rPr>
  </w:style>
  <w:style w:type="character" w:customStyle="1" w:styleId="Heading3Char">
    <w:name w:val="Heading 3 Char"/>
    <w:basedOn w:val="DefaultParagraphFont"/>
    <w:link w:val="Heading3"/>
    <w:rsid w:val="009061F6"/>
    <w:rPr>
      <w:rFonts w:ascii="Times New Roman" w:eastAsiaTheme="majorEastAsia" w:hAnsi="Times New Roman" w:cstheme="majorBidi"/>
      <w:b/>
      <w:sz w:val="24"/>
      <w:szCs w:val="24"/>
    </w:rPr>
  </w:style>
  <w:style w:type="character" w:customStyle="1" w:styleId="Heading2Char">
    <w:name w:val="Heading 2 Char"/>
    <w:aliases w:val="Body sections Level 2 Char"/>
    <w:basedOn w:val="DefaultParagraphFont"/>
    <w:link w:val="Heading2"/>
    <w:uiPriority w:val="9"/>
    <w:rsid w:val="005812DB"/>
    <w:rPr>
      <w:rFonts w:ascii="Times New Roman" w:eastAsiaTheme="majorEastAsia" w:hAnsi="Times New Roman" w:cstheme="majorBidi"/>
      <w:b/>
      <w:sz w:val="24"/>
      <w:szCs w:val="26"/>
    </w:rPr>
  </w:style>
  <w:style w:type="paragraph" w:styleId="NoSpacing">
    <w:name w:val="No Spacing"/>
    <w:aliases w:val="Main title"/>
    <w:autoRedefine/>
    <w:uiPriority w:val="1"/>
    <w:qFormat/>
    <w:rsid w:val="00C940E4"/>
    <w:pPr>
      <w:spacing w:after="0" w:line="480" w:lineRule="auto"/>
      <w:jc w:val="center"/>
    </w:pPr>
    <w:rPr>
      <w:rFonts w:ascii="Times New Roman" w:eastAsiaTheme="minorEastAsia" w:hAnsi="Times New Roman"/>
      <w:b/>
      <w:sz w:val="24"/>
    </w:rPr>
  </w:style>
  <w:style w:type="character" w:customStyle="1" w:styleId="Heading4Char">
    <w:name w:val="Heading 4 Char"/>
    <w:basedOn w:val="DefaultParagraphFont"/>
    <w:link w:val="Heading4"/>
    <w:rsid w:val="00BE43B8"/>
    <w:rPr>
      <w:rFonts w:ascii="Calibri" w:eastAsia="Calibri" w:hAnsi="Calibri" w:cs="Calibri"/>
      <w:color w:val="2E75B5"/>
      <w:sz w:val="24"/>
      <w:szCs w:val="24"/>
    </w:rPr>
  </w:style>
  <w:style w:type="character" w:customStyle="1" w:styleId="Heading5Char">
    <w:name w:val="Heading 5 Char"/>
    <w:basedOn w:val="DefaultParagraphFont"/>
    <w:link w:val="Heading5"/>
    <w:rsid w:val="00BE43B8"/>
    <w:rPr>
      <w:rFonts w:ascii="Calibri" w:eastAsia="Calibri" w:hAnsi="Calibri" w:cs="Calibri"/>
      <w:smallCaps/>
      <w:color w:val="2E75B5"/>
      <w:sz w:val="24"/>
      <w:szCs w:val="24"/>
    </w:rPr>
  </w:style>
  <w:style w:type="character" w:customStyle="1" w:styleId="Heading6Char">
    <w:name w:val="Heading 6 Char"/>
    <w:basedOn w:val="DefaultParagraphFont"/>
    <w:link w:val="Heading6"/>
    <w:rsid w:val="00BE43B8"/>
    <w:rPr>
      <w:rFonts w:ascii="Calibri" w:eastAsia="Calibri" w:hAnsi="Calibri" w:cs="Calibri"/>
      <w:i/>
      <w:smallCaps/>
      <w:color w:val="1F4E79"/>
      <w:sz w:val="24"/>
      <w:szCs w:val="24"/>
    </w:rPr>
  </w:style>
  <w:style w:type="paragraph" w:styleId="Title">
    <w:name w:val="Title"/>
    <w:basedOn w:val="Normal"/>
    <w:next w:val="Normal"/>
    <w:link w:val="TitleChar"/>
    <w:rsid w:val="00BE43B8"/>
    <w:pPr>
      <w:spacing w:after="0" w:line="240" w:lineRule="auto"/>
    </w:pPr>
    <w:rPr>
      <w:rFonts w:ascii="Calibri" w:eastAsia="Calibri" w:hAnsi="Calibri" w:cs="Calibri"/>
      <w:smallCaps/>
      <w:color w:val="44546A"/>
      <w:sz w:val="72"/>
      <w:szCs w:val="72"/>
    </w:rPr>
  </w:style>
  <w:style w:type="character" w:customStyle="1" w:styleId="TitleChar">
    <w:name w:val="Title Char"/>
    <w:basedOn w:val="DefaultParagraphFont"/>
    <w:link w:val="Title"/>
    <w:rsid w:val="00BE43B8"/>
    <w:rPr>
      <w:rFonts w:ascii="Calibri" w:eastAsia="Calibri" w:hAnsi="Calibri" w:cs="Calibri"/>
      <w:smallCaps/>
      <w:color w:val="44546A"/>
      <w:sz w:val="72"/>
      <w:szCs w:val="72"/>
    </w:rPr>
  </w:style>
  <w:style w:type="paragraph" w:styleId="Subtitle">
    <w:name w:val="Subtitle"/>
    <w:basedOn w:val="Normal"/>
    <w:next w:val="Normal"/>
    <w:link w:val="SubtitleChar"/>
    <w:rsid w:val="00BE43B8"/>
    <w:pPr>
      <w:spacing w:after="240" w:line="240" w:lineRule="auto"/>
    </w:pPr>
    <w:rPr>
      <w:rFonts w:ascii="Calibri" w:eastAsia="Calibri" w:hAnsi="Calibri" w:cs="Calibri"/>
      <w:color w:val="5B9BD5"/>
      <w:sz w:val="28"/>
      <w:szCs w:val="28"/>
    </w:rPr>
  </w:style>
  <w:style w:type="character" w:customStyle="1" w:styleId="SubtitleChar">
    <w:name w:val="Subtitle Char"/>
    <w:basedOn w:val="DefaultParagraphFont"/>
    <w:link w:val="Subtitle"/>
    <w:rsid w:val="00BE43B8"/>
    <w:rPr>
      <w:rFonts w:ascii="Calibri" w:eastAsia="Calibri" w:hAnsi="Calibri" w:cs="Calibri"/>
      <w:color w:val="5B9BD5"/>
      <w:sz w:val="28"/>
      <w:szCs w:val="28"/>
    </w:rPr>
  </w:style>
  <w:style w:type="paragraph" w:styleId="CommentText">
    <w:name w:val="annotation text"/>
    <w:basedOn w:val="Normal"/>
    <w:link w:val="CommentTextChar"/>
    <w:uiPriority w:val="99"/>
    <w:semiHidden/>
    <w:unhideWhenUsed/>
    <w:rsid w:val="00BE43B8"/>
    <w:pPr>
      <w:spacing w:line="240" w:lineRule="auto"/>
    </w:pPr>
    <w:rPr>
      <w:sz w:val="20"/>
      <w:szCs w:val="20"/>
    </w:rPr>
  </w:style>
  <w:style w:type="character" w:customStyle="1" w:styleId="CommentTextChar">
    <w:name w:val="Comment Text Char"/>
    <w:basedOn w:val="DefaultParagraphFont"/>
    <w:link w:val="CommentText"/>
    <w:uiPriority w:val="99"/>
    <w:semiHidden/>
    <w:rsid w:val="00BE43B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43B8"/>
    <w:rPr>
      <w:sz w:val="16"/>
      <w:szCs w:val="16"/>
    </w:rPr>
  </w:style>
  <w:style w:type="paragraph" w:styleId="BalloonText">
    <w:name w:val="Balloon Text"/>
    <w:basedOn w:val="Normal"/>
    <w:link w:val="BalloonTextChar"/>
    <w:uiPriority w:val="99"/>
    <w:semiHidden/>
    <w:unhideWhenUsed/>
    <w:rsid w:val="00BE4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B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E43B8"/>
    <w:rPr>
      <w:b/>
      <w:bCs/>
    </w:rPr>
  </w:style>
  <w:style w:type="character" w:customStyle="1" w:styleId="CommentSubjectChar">
    <w:name w:val="Comment Subject Char"/>
    <w:basedOn w:val="CommentTextChar"/>
    <w:link w:val="CommentSubject"/>
    <w:uiPriority w:val="99"/>
    <w:semiHidden/>
    <w:rsid w:val="00BE43B8"/>
    <w:rPr>
      <w:rFonts w:ascii="Times New Roman" w:eastAsia="Times New Roman" w:hAnsi="Times New Roman" w:cs="Times New Roman"/>
      <w:b/>
      <w:bCs/>
      <w:sz w:val="20"/>
      <w:szCs w:val="20"/>
    </w:rPr>
  </w:style>
  <w:style w:type="paragraph" w:styleId="Revision">
    <w:name w:val="Revision"/>
    <w:hidden/>
    <w:uiPriority w:val="99"/>
    <w:semiHidden/>
    <w:rsid w:val="00BE43B8"/>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E4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3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43B8"/>
    <w:rPr>
      <w:vertAlign w:val="superscript"/>
    </w:rPr>
  </w:style>
  <w:style w:type="character" w:styleId="Hyperlink">
    <w:name w:val="Hyperlink"/>
    <w:basedOn w:val="DefaultParagraphFont"/>
    <w:uiPriority w:val="99"/>
    <w:unhideWhenUsed/>
    <w:rsid w:val="00BE43B8"/>
    <w:rPr>
      <w:color w:val="0000FF"/>
      <w:u w:val="single"/>
    </w:rPr>
  </w:style>
  <w:style w:type="paragraph" w:styleId="Header">
    <w:name w:val="header"/>
    <w:basedOn w:val="Normal"/>
    <w:link w:val="HeaderChar"/>
    <w:uiPriority w:val="99"/>
    <w:unhideWhenUsed/>
    <w:rsid w:val="00BE4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B8"/>
    <w:rPr>
      <w:rFonts w:ascii="Times New Roman" w:eastAsia="Times New Roman" w:hAnsi="Times New Roman" w:cs="Times New Roman"/>
      <w:sz w:val="24"/>
      <w:szCs w:val="24"/>
    </w:rPr>
  </w:style>
  <w:style w:type="table" w:styleId="TableGrid">
    <w:name w:val="Table Grid"/>
    <w:basedOn w:val="TableNormal"/>
    <w:uiPriority w:val="39"/>
    <w:rsid w:val="00BE43B8"/>
    <w:pPr>
      <w:spacing w:after="0" w:line="240" w:lineRule="auto"/>
      <w:jc w:val="center"/>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E43B8"/>
    <w:rPr>
      <w:color w:val="605E5C"/>
      <w:shd w:val="clear" w:color="auto" w:fill="E1DFDD"/>
    </w:rPr>
  </w:style>
  <w:style w:type="character" w:styleId="FollowedHyperlink">
    <w:name w:val="FollowedHyperlink"/>
    <w:basedOn w:val="DefaultParagraphFont"/>
    <w:uiPriority w:val="99"/>
    <w:semiHidden/>
    <w:unhideWhenUsed/>
    <w:rsid w:val="00CD365A"/>
    <w:rPr>
      <w:color w:val="954F72" w:themeColor="followedHyperlink"/>
      <w:u w:val="single"/>
    </w:rPr>
  </w:style>
  <w:style w:type="character" w:styleId="LineNumber">
    <w:name w:val="line number"/>
    <w:basedOn w:val="DefaultParagraphFont"/>
    <w:uiPriority w:val="99"/>
    <w:semiHidden/>
    <w:unhideWhenUsed/>
    <w:rsid w:val="00EC1360"/>
  </w:style>
  <w:style w:type="character" w:styleId="UnresolvedMention">
    <w:name w:val="Unresolved Mention"/>
    <w:basedOn w:val="DefaultParagraphFont"/>
    <w:uiPriority w:val="99"/>
    <w:semiHidden/>
    <w:unhideWhenUsed/>
    <w:rsid w:val="0005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731">
      <w:bodyDiv w:val="1"/>
      <w:marLeft w:val="0"/>
      <w:marRight w:val="0"/>
      <w:marTop w:val="0"/>
      <w:marBottom w:val="0"/>
      <w:divBdr>
        <w:top w:val="none" w:sz="0" w:space="0" w:color="auto"/>
        <w:left w:val="none" w:sz="0" w:space="0" w:color="auto"/>
        <w:bottom w:val="none" w:sz="0" w:space="0" w:color="auto"/>
        <w:right w:val="none" w:sz="0" w:space="0" w:color="auto"/>
      </w:divBdr>
    </w:div>
    <w:div w:id="322320725">
      <w:bodyDiv w:val="1"/>
      <w:marLeft w:val="0"/>
      <w:marRight w:val="0"/>
      <w:marTop w:val="0"/>
      <w:marBottom w:val="0"/>
      <w:divBdr>
        <w:top w:val="none" w:sz="0" w:space="0" w:color="auto"/>
        <w:left w:val="none" w:sz="0" w:space="0" w:color="auto"/>
        <w:bottom w:val="none" w:sz="0" w:space="0" w:color="auto"/>
        <w:right w:val="none" w:sz="0" w:space="0" w:color="auto"/>
      </w:divBdr>
    </w:div>
    <w:div w:id="343673530">
      <w:bodyDiv w:val="1"/>
      <w:marLeft w:val="0"/>
      <w:marRight w:val="0"/>
      <w:marTop w:val="0"/>
      <w:marBottom w:val="0"/>
      <w:divBdr>
        <w:top w:val="none" w:sz="0" w:space="0" w:color="auto"/>
        <w:left w:val="none" w:sz="0" w:space="0" w:color="auto"/>
        <w:bottom w:val="none" w:sz="0" w:space="0" w:color="auto"/>
        <w:right w:val="none" w:sz="0" w:space="0" w:color="auto"/>
      </w:divBdr>
    </w:div>
    <w:div w:id="529683244">
      <w:bodyDiv w:val="1"/>
      <w:marLeft w:val="0"/>
      <w:marRight w:val="0"/>
      <w:marTop w:val="0"/>
      <w:marBottom w:val="0"/>
      <w:divBdr>
        <w:top w:val="none" w:sz="0" w:space="0" w:color="auto"/>
        <w:left w:val="none" w:sz="0" w:space="0" w:color="auto"/>
        <w:bottom w:val="none" w:sz="0" w:space="0" w:color="auto"/>
        <w:right w:val="none" w:sz="0" w:space="0" w:color="auto"/>
      </w:divBdr>
    </w:div>
    <w:div w:id="670068310">
      <w:bodyDiv w:val="1"/>
      <w:marLeft w:val="0"/>
      <w:marRight w:val="0"/>
      <w:marTop w:val="0"/>
      <w:marBottom w:val="0"/>
      <w:divBdr>
        <w:top w:val="none" w:sz="0" w:space="0" w:color="auto"/>
        <w:left w:val="none" w:sz="0" w:space="0" w:color="auto"/>
        <w:bottom w:val="none" w:sz="0" w:space="0" w:color="auto"/>
        <w:right w:val="none" w:sz="0" w:space="0" w:color="auto"/>
      </w:divBdr>
    </w:div>
    <w:div w:id="671104857">
      <w:bodyDiv w:val="1"/>
      <w:marLeft w:val="0"/>
      <w:marRight w:val="0"/>
      <w:marTop w:val="0"/>
      <w:marBottom w:val="0"/>
      <w:divBdr>
        <w:top w:val="none" w:sz="0" w:space="0" w:color="auto"/>
        <w:left w:val="none" w:sz="0" w:space="0" w:color="auto"/>
        <w:bottom w:val="none" w:sz="0" w:space="0" w:color="auto"/>
        <w:right w:val="none" w:sz="0" w:space="0" w:color="auto"/>
      </w:divBdr>
    </w:div>
    <w:div w:id="734744364">
      <w:bodyDiv w:val="1"/>
      <w:marLeft w:val="0"/>
      <w:marRight w:val="0"/>
      <w:marTop w:val="0"/>
      <w:marBottom w:val="0"/>
      <w:divBdr>
        <w:top w:val="none" w:sz="0" w:space="0" w:color="auto"/>
        <w:left w:val="none" w:sz="0" w:space="0" w:color="auto"/>
        <w:bottom w:val="none" w:sz="0" w:space="0" w:color="auto"/>
        <w:right w:val="none" w:sz="0" w:space="0" w:color="auto"/>
      </w:divBdr>
    </w:div>
    <w:div w:id="854270750">
      <w:bodyDiv w:val="1"/>
      <w:marLeft w:val="0"/>
      <w:marRight w:val="0"/>
      <w:marTop w:val="0"/>
      <w:marBottom w:val="0"/>
      <w:divBdr>
        <w:top w:val="none" w:sz="0" w:space="0" w:color="auto"/>
        <w:left w:val="none" w:sz="0" w:space="0" w:color="auto"/>
        <w:bottom w:val="none" w:sz="0" w:space="0" w:color="auto"/>
        <w:right w:val="none" w:sz="0" w:space="0" w:color="auto"/>
      </w:divBdr>
    </w:div>
    <w:div w:id="1307663550">
      <w:bodyDiv w:val="1"/>
      <w:marLeft w:val="0"/>
      <w:marRight w:val="0"/>
      <w:marTop w:val="0"/>
      <w:marBottom w:val="0"/>
      <w:divBdr>
        <w:top w:val="none" w:sz="0" w:space="0" w:color="auto"/>
        <w:left w:val="none" w:sz="0" w:space="0" w:color="auto"/>
        <w:bottom w:val="none" w:sz="0" w:space="0" w:color="auto"/>
        <w:right w:val="none" w:sz="0" w:space="0" w:color="auto"/>
      </w:divBdr>
    </w:div>
    <w:div w:id="1612930020">
      <w:bodyDiv w:val="1"/>
      <w:marLeft w:val="0"/>
      <w:marRight w:val="0"/>
      <w:marTop w:val="0"/>
      <w:marBottom w:val="0"/>
      <w:divBdr>
        <w:top w:val="none" w:sz="0" w:space="0" w:color="auto"/>
        <w:left w:val="none" w:sz="0" w:space="0" w:color="auto"/>
        <w:bottom w:val="none" w:sz="0" w:space="0" w:color="auto"/>
        <w:right w:val="none" w:sz="0" w:space="0" w:color="auto"/>
      </w:divBdr>
    </w:div>
    <w:div w:id="1676607708">
      <w:bodyDiv w:val="1"/>
      <w:marLeft w:val="0"/>
      <w:marRight w:val="0"/>
      <w:marTop w:val="0"/>
      <w:marBottom w:val="0"/>
      <w:divBdr>
        <w:top w:val="none" w:sz="0" w:space="0" w:color="auto"/>
        <w:left w:val="none" w:sz="0" w:space="0" w:color="auto"/>
        <w:bottom w:val="none" w:sz="0" w:space="0" w:color="auto"/>
        <w:right w:val="none" w:sz="0" w:space="0" w:color="auto"/>
      </w:divBdr>
    </w:div>
    <w:div w:id="2061594408">
      <w:bodyDiv w:val="1"/>
      <w:marLeft w:val="0"/>
      <w:marRight w:val="0"/>
      <w:marTop w:val="0"/>
      <w:marBottom w:val="0"/>
      <w:divBdr>
        <w:top w:val="none" w:sz="0" w:space="0" w:color="auto"/>
        <w:left w:val="none" w:sz="0" w:space="0" w:color="auto"/>
        <w:bottom w:val="none" w:sz="0" w:space="0" w:color="auto"/>
        <w:right w:val="none" w:sz="0" w:space="0" w:color="auto"/>
      </w:divBdr>
    </w:div>
    <w:div w:id="2072920300">
      <w:bodyDiv w:val="1"/>
      <w:marLeft w:val="0"/>
      <w:marRight w:val="0"/>
      <w:marTop w:val="0"/>
      <w:marBottom w:val="0"/>
      <w:divBdr>
        <w:top w:val="none" w:sz="0" w:space="0" w:color="auto"/>
        <w:left w:val="none" w:sz="0" w:space="0" w:color="auto"/>
        <w:bottom w:val="none" w:sz="0" w:space="0" w:color="auto"/>
        <w:right w:val="none" w:sz="0" w:space="0" w:color="auto"/>
      </w:divBdr>
    </w:div>
    <w:div w:id="2136631735">
      <w:bodyDiv w:val="1"/>
      <w:marLeft w:val="0"/>
      <w:marRight w:val="0"/>
      <w:marTop w:val="0"/>
      <w:marBottom w:val="0"/>
      <w:divBdr>
        <w:top w:val="none" w:sz="0" w:space="0" w:color="auto"/>
        <w:left w:val="none" w:sz="0" w:space="0" w:color="auto"/>
        <w:bottom w:val="none" w:sz="0" w:space="0" w:color="auto"/>
        <w:right w:val="none" w:sz="0" w:space="0" w:color="auto"/>
      </w:divBdr>
    </w:div>
    <w:div w:id="21369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uationslab.squarespace.com/the-international-situations-project" TargetMode="External"/><Relationship Id="rId13" Type="http://schemas.openxmlformats.org/officeDocument/2006/relationships/hyperlink" Target="https://doi.org/10.3389/fpsyg.2020.00536" TargetMode="External"/><Relationship Id="rId18" Type="http://schemas.openxmlformats.org/officeDocument/2006/relationships/hyperlink" Target="https://doi.org/10.1007/s10902-017-9853-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37/pas000075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371/journal.pone.0183958" TargetMode="External"/><Relationship Id="rId25" Type="http://schemas.openxmlformats.org/officeDocument/2006/relationships/hyperlink" Target="https://www.who.int/gho/en/" TargetMode="External"/><Relationship Id="rId2" Type="http://schemas.openxmlformats.org/officeDocument/2006/relationships/numbering" Target="numbering.xml"/><Relationship Id="rId16" Type="http://schemas.openxmlformats.org/officeDocument/2006/relationships/hyperlink" Target="https://doi.org/10.1007/978-94-007-5195-8_1" TargetMode="External"/><Relationship Id="rId20" Type="http://schemas.openxmlformats.org/officeDocument/2006/relationships/hyperlink" Target="https://doi.org/10.1016/j.copsyc.2015.10.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weatherbase.com" TargetMode="External"/><Relationship Id="rId5" Type="http://schemas.openxmlformats.org/officeDocument/2006/relationships/webSettings" Target="webSettings.xml"/><Relationship Id="rId15" Type="http://schemas.openxmlformats.org/officeDocument/2006/relationships/hyperlink" Target="https://www.cia.gov/library/publications/resources/the-world-factbook/fields/344rank.html" TargetMode="External"/><Relationship Id="rId23" Type="http://schemas.openxmlformats.org/officeDocument/2006/relationships/hyperlink" Target="http://hdr.undp.org/en/data" TargetMode="External"/><Relationship Id="rId10" Type="http://schemas.openxmlformats.org/officeDocument/2006/relationships/header" Target="header1.xml"/><Relationship Id="rId19" Type="http://schemas.openxmlformats.org/officeDocument/2006/relationships/hyperlink" Target="https://doi.org/10.1007/s10902-014-9505-8" TargetMode="External"/><Relationship Id="rId4" Type="http://schemas.openxmlformats.org/officeDocument/2006/relationships/settings" Target="settings.xml"/><Relationship Id="rId9" Type="http://schemas.openxmlformats.org/officeDocument/2006/relationships/hyperlink" Target="https://osf.io/jrbt3/" TargetMode="External"/><Relationship Id="rId14" Type="http://schemas.openxmlformats.org/officeDocument/2006/relationships/hyperlink" Target="https://doi.org/10.1037/a0022389" TargetMode="External"/><Relationship Id="rId22" Type="http://schemas.openxmlformats.org/officeDocument/2006/relationships/hyperlink" Target="https://data.worldbank.org/indicator/EN.POP.DN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3A9D-5477-4246-A24B-144DA0CE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18014</Words>
  <Characters>102684</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David Funder</cp:lastModifiedBy>
  <cp:revision>3</cp:revision>
  <dcterms:created xsi:type="dcterms:W3CDTF">2020-11-10T18:50:00Z</dcterms:created>
  <dcterms:modified xsi:type="dcterms:W3CDTF">2020-11-10T18:50:00Z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099760a9-09cb-31cd-98a4-bd434120edb0</vt:lpwstr>
  </property>
  <property fmtid="{D5CDD505-2E9C-101B-9397-08002B2CF9AE}" pid="24" name="Mendeley Citation Style_1">
    <vt:lpwstr>http://www.zotero.org/styles/apa</vt:lpwstr>
  </property>
</Properties>
</file>